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0FE54" w14:textId="77777777" w:rsidR="00A74D9C" w:rsidRPr="00095D46" w:rsidRDefault="00A74D9C" w:rsidP="00247AC8">
      <w:pPr>
        <w:jc w:val="right"/>
        <w:rPr>
          <w:b/>
          <w:lang w:val="hr-HR" w:eastAsia="hr-HR"/>
        </w:rPr>
      </w:pPr>
      <w:r w:rsidRPr="00095D46">
        <w:rPr>
          <w:b/>
          <w:lang w:val="hr-HR" w:eastAsia="hr-HR"/>
        </w:rPr>
        <w:t>П Р И Ј Е Д Л О</w:t>
      </w:r>
      <w:r w:rsidR="00247AC8" w:rsidRPr="00095D46">
        <w:rPr>
          <w:b/>
          <w:lang w:val="sr-Cyrl-BA" w:eastAsia="hr-HR"/>
        </w:rPr>
        <w:t xml:space="preserve"> </w:t>
      </w:r>
      <w:r w:rsidRPr="00095D46">
        <w:rPr>
          <w:b/>
          <w:lang w:val="hr-HR" w:eastAsia="hr-HR"/>
        </w:rPr>
        <w:t>Г</w:t>
      </w:r>
    </w:p>
    <w:p w14:paraId="6609B095" w14:textId="77777777" w:rsidR="003663F9" w:rsidRPr="002B22B5" w:rsidRDefault="00A74D9C" w:rsidP="00884BFB">
      <w:pPr>
        <w:jc w:val="both"/>
        <w:rPr>
          <w:lang w:val="sr-Cyrl-BA"/>
        </w:rPr>
      </w:pPr>
      <w:r w:rsidRPr="002B22B5">
        <w:rPr>
          <w:lang w:val="sr-Cyrl-BA"/>
        </w:rPr>
        <w:tab/>
      </w:r>
    </w:p>
    <w:p w14:paraId="1CC83CB1" w14:textId="77777777" w:rsidR="003663F9" w:rsidRPr="002B22B5" w:rsidRDefault="003663F9" w:rsidP="00733C90">
      <w:pPr>
        <w:pStyle w:val="BodyText"/>
        <w:ind w:firstLine="720"/>
        <w:rPr>
          <w:lang w:val="sr-Cyrl-BA"/>
        </w:rPr>
      </w:pPr>
      <w:r w:rsidRPr="002B22B5">
        <w:t xml:space="preserve">На основу члана </w:t>
      </w:r>
      <w:r w:rsidR="0037594E" w:rsidRPr="002B22B5">
        <w:rPr>
          <w:lang w:val="sr-Latn-RS"/>
        </w:rPr>
        <w:t>4</w:t>
      </w:r>
      <w:r w:rsidRPr="002B22B5">
        <w:t xml:space="preserve">. </w:t>
      </w:r>
      <w:r w:rsidR="002B4AB3" w:rsidRPr="002B22B5">
        <w:t>став</w:t>
      </w:r>
      <w:r w:rsidRPr="002B22B5">
        <w:t xml:space="preserve"> </w:t>
      </w:r>
      <w:r w:rsidR="0037594E" w:rsidRPr="002B22B5">
        <w:rPr>
          <w:lang w:val="sr-Latn-RS"/>
        </w:rPr>
        <w:t>3</w:t>
      </w:r>
      <w:r w:rsidRPr="002B22B5">
        <w:t>. Закона о порезу на непокретности (</w:t>
      </w:r>
      <w:r w:rsidR="00EF5BA2" w:rsidRPr="002B22B5">
        <w:rPr>
          <w:lang w:val="sr-Cyrl-BA"/>
        </w:rPr>
        <w:t>„</w:t>
      </w:r>
      <w:r w:rsidRPr="002B22B5">
        <w:t>Службени гласник Републике Српске</w:t>
      </w:r>
      <w:r w:rsidR="00EF5BA2" w:rsidRPr="002B22B5">
        <w:rPr>
          <w:lang w:val="sr-Cyrl-BA"/>
        </w:rPr>
        <w:t>“</w:t>
      </w:r>
      <w:r w:rsidRPr="002B22B5">
        <w:t>, број</w:t>
      </w:r>
      <w:r w:rsidR="00721A41" w:rsidRPr="002B22B5">
        <w:rPr>
          <w:lang w:val="sr-Latn-CS"/>
        </w:rPr>
        <w:t>:</w:t>
      </w:r>
      <w:r w:rsidRPr="002B22B5">
        <w:t xml:space="preserve"> </w:t>
      </w:r>
      <w:r w:rsidR="00DF0044" w:rsidRPr="002B22B5">
        <w:t>91</w:t>
      </w:r>
      <w:r w:rsidRPr="002B22B5">
        <w:t>/</w:t>
      </w:r>
      <w:r w:rsidR="00DF0044" w:rsidRPr="002B22B5">
        <w:t>15</w:t>
      </w:r>
      <w:r w:rsidR="00EC2BD9" w:rsidRPr="002B22B5">
        <w:t xml:space="preserve">), члана 39. </w:t>
      </w:r>
      <w:r w:rsidR="00E86E68" w:rsidRPr="002B22B5">
        <w:rPr>
          <w:lang w:val="sr-Cyrl-BA"/>
        </w:rPr>
        <w:t xml:space="preserve">став 2. </w:t>
      </w:r>
      <w:r w:rsidR="00EC2BD9" w:rsidRPr="002B22B5">
        <w:t xml:space="preserve">тачка 2. </w:t>
      </w:r>
      <w:r w:rsidRPr="002B22B5">
        <w:t>Закона о локалној самоуправи (</w:t>
      </w:r>
      <w:r w:rsidR="00EF5BA2" w:rsidRPr="002B22B5">
        <w:rPr>
          <w:lang w:val="sr-Cyrl-BA"/>
        </w:rPr>
        <w:t>„</w:t>
      </w:r>
      <w:r w:rsidRPr="002B22B5">
        <w:t>Службени гласник Републике</w:t>
      </w:r>
      <w:r w:rsidR="00EF5BA2" w:rsidRPr="002B22B5">
        <w:t xml:space="preserve"> Српске</w:t>
      </w:r>
      <w:r w:rsidR="00EF5BA2" w:rsidRPr="002B22B5">
        <w:rPr>
          <w:lang w:val="sr-Cyrl-BA"/>
        </w:rPr>
        <w:t>“</w:t>
      </w:r>
      <w:r w:rsidR="00E27A9B" w:rsidRPr="002B22B5">
        <w:t>, број: 97/1</w:t>
      </w:r>
      <w:r w:rsidR="00C87CCB" w:rsidRPr="002B22B5">
        <w:rPr>
          <w:lang w:val="sr-Cyrl-BA"/>
        </w:rPr>
        <w:t>6</w:t>
      </w:r>
      <w:r w:rsidR="0056380B">
        <w:rPr>
          <w:lang w:val="hr-HR"/>
        </w:rPr>
        <w:t>,</w:t>
      </w:r>
      <w:r w:rsidR="00991847" w:rsidRPr="002B22B5">
        <w:rPr>
          <w:lang w:val="sr-Cyrl-BA"/>
        </w:rPr>
        <w:t xml:space="preserve"> 36/19</w:t>
      </w:r>
      <w:r w:rsidR="0056380B">
        <w:rPr>
          <w:lang w:val="hr-HR"/>
        </w:rPr>
        <w:t xml:space="preserve"> </w:t>
      </w:r>
      <w:r w:rsidR="0056380B">
        <w:rPr>
          <w:lang w:val="sr-Cyrl-BA"/>
        </w:rPr>
        <w:t>и 61/21</w:t>
      </w:r>
      <w:r w:rsidRPr="002B22B5">
        <w:t xml:space="preserve">), </w:t>
      </w:r>
      <w:bookmarkStart w:id="0" w:name="OLE_LINK2"/>
      <w:r w:rsidR="00121F73" w:rsidRPr="002B22B5">
        <w:t xml:space="preserve">члана 41. став 1. тачка 2. и члана 89. Статута општине Брод </w:t>
      </w:r>
      <w:r w:rsidRPr="002B22B5">
        <w:t>(</w:t>
      </w:r>
      <w:r w:rsidR="00EF5BA2" w:rsidRPr="002B22B5">
        <w:rPr>
          <w:lang w:val="sr-Cyrl-BA"/>
        </w:rPr>
        <w:t>„</w:t>
      </w:r>
      <w:r w:rsidRPr="002B22B5">
        <w:t>Службени гласник општине Брод</w:t>
      </w:r>
      <w:r w:rsidR="00EF5BA2" w:rsidRPr="002B22B5">
        <w:rPr>
          <w:lang w:val="sr-Cyrl-BA"/>
        </w:rPr>
        <w:t>“</w:t>
      </w:r>
      <w:r w:rsidRPr="002B22B5">
        <w:t xml:space="preserve"> број</w:t>
      </w:r>
      <w:r w:rsidR="00721A41" w:rsidRPr="002B22B5">
        <w:rPr>
          <w:lang w:val="sr-Latn-CS"/>
        </w:rPr>
        <w:t>:</w:t>
      </w:r>
      <w:r w:rsidRPr="002B22B5">
        <w:t xml:space="preserve"> </w:t>
      </w:r>
      <w:r w:rsidR="001C7DB0" w:rsidRPr="002B22B5">
        <w:rPr>
          <w:lang w:val="sr-Cyrl-BA"/>
        </w:rPr>
        <w:t>7</w:t>
      </w:r>
      <w:r w:rsidR="00382FF8" w:rsidRPr="002B22B5">
        <w:t>/1</w:t>
      </w:r>
      <w:r w:rsidR="001C7DB0" w:rsidRPr="002B22B5">
        <w:rPr>
          <w:lang w:val="sr-Cyrl-BA"/>
        </w:rPr>
        <w:t>7</w:t>
      </w:r>
      <w:r w:rsidRPr="002B22B5">
        <w:t>) и члана 11</w:t>
      </w:r>
      <w:r w:rsidR="003B092A" w:rsidRPr="002B22B5">
        <w:rPr>
          <w:lang w:val="hr-HR"/>
        </w:rPr>
        <w:t>1</w:t>
      </w:r>
      <w:r w:rsidRPr="002B22B5">
        <w:t xml:space="preserve">. </w:t>
      </w:r>
      <w:r w:rsidR="00884BFB" w:rsidRPr="002B22B5">
        <w:rPr>
          <w:lang w:val="sr-Cyrl-BA"/>
        </w:rPr>
        <w:t xml:space="preserve">и 112. </w:t>
      </w:r>
      <w:r w:rsidRPr="002B22B5">
        <w:t>Посл</w:t>
      </w:r>
      <w:r w:rsidR="00EF5BA2" w:rsidRPr="002B22B5">
        <w:t xml:space="preserve">овника </w:t>
      </w:r>
      <w:r w:rsidR="001C7DB0" w:rsidRPr="002B22B5">
        <w:rPr>
          <w:lang w:val="sr-Cyrl-BA"/>
        </w:rPr>
        <w:t xml:space="preserve">о раду </w:t>
      </w:r>
      <w:r w:rsidR="00EF5BA2" w:rsidRPr="002B22B5">
        <w:t>Скупштине општине Брод</w:t>
      </w:r>
      <w:r w:rsidR="001A25F2" w:rsidRPr="002B22B5">
        <w:rPr>
          <w:lang w:val="sr-Cyrl-BA"/>
        </w:rPr>
        <w:t xml:space="preserve"> – пречишћен текст</w:t>
      </w:r>
      <w:r w:rsidR="00EF5BA2" w:rsidRPr="002B22B5">
        <w:t xml:space="preserve"> (</w:t>
      </w:r>
      <w:r w:rsidR="00EF5BA2" w:rsidRPr="002B22B5">
        <w:rPr>
          <w:lang w:val="sr-Cyrl-BA"/>
        </w:rPr>
        <w:t>„</w:t>
      </w:r>
      <w:r w:rsidRPr="002B22B5">
        <w:t>Службени гласник општине Брод</w:t>
      </w:r>
      <w:r w:rsidR="00EF5BA2" w:rsidRPr="002B22B5">
        <w:rPr>
          <w:lang w:val="sr-Cyrl-BA"/>
        </w:rPr>
        <w:t>“</w:t>
      </w:r>
      <w:r w:rsidRPr="002B22B5">
        <w:t xml:space="preserve"> број </w:t>
      </w:r>
      <w:r w:rsidR="001A25F2" w:rsidRPr="002B22B5">
        <w:rPr>
          <w:lang w:val="sr-Cyrl-BA"/>
        </w:rPr>
        <w:t>5</w:t>
      </w:r>
      <w:r w:rsidR="000072DD" w:rsidRPr="002B22B5">
        <w:t>/</w:t>
      </w:r>
      <w:r w:rsidR="001A25F2" w:rsidRPr="002B22B5">
        <w:rPr>
          <w:lang w:val="sr-Cyrl-BA"/>
        </w:rPr>
        <w:t>20</w:t>
      </w:r>
      <w:r w:rsidRPr="002B22B5">
        <w:t xml:space="preserve">), Скупштина општине Брод на </w:t>
      </w:r>
      <w:r w:rsidR="00733C90">
        <w:rPr>
          <w:lang w:val="hr-HR"/>
        </w:rPr>
        <w:t>2</w:t>
      </w:r>
      <w:r w:rsidR="00C0279C" w:rsidRPr="002B22B5">
        <w:rPr>
          <w:lang w:val="sr-Cyrl-BA"/>
        </w:rPr>
        <w:t>.</w:t>
      </w:r>
      <w:r w:rsidR="00366462" w:rsidRPr="002B22B5">
        <w:rPr>
          <w:lang w:val="sr-Cyrl-BA"/>
        </w:rPr>
        <w:t xml:space="preserve"> </w:t>
      </w:r>
      <w:r w:rsidR="003B092A" w:rsidRPr="002B22B5">
        <w:rPr>
          <w:lang w:val="sr-Cyrl-BA"/>
        </w:rPr>
        <w:t xml:space="preserve">редовној </w:t>
      </w:r>
      <w:r w:rsidRPr="002B22B5">
        <w:t>сједници одржаној</w:t>
      </w:r>
      <w:r w:rsidR="00C0279C" w:rsidRPr="002B22B5">
        <w:rPr>
          <w:lang w:val="hr-HR"/>
        </w:rPr>
        <w:t xml:space="preserve"> </w:t>
      </w:r>
      <w:r w:rsidR="0011366B">
        <w:rPr>
          <w:lang w:val="hr-HR"/>
        </w:rPr>
        <w:t>25</w:t>
      </w:r>
      <w:r w:rsidR="001A25F2" w:rsidRPr="00733C90">
        <w:rPr>
          <w:lang w:val="sr-Cyrl-BA"/>
        </w:rPr>
        <w:t>.</w:t>
      </w:r>
      <w:r w:rsidR="00403777" w:rsidRPr="00733C90">
        <w:rPr>
          <w:lang w:val="sr-Cyrl-BA"/>
        </w:rPr>
        <w:t>12</w:t>
      </w:r>
      <w:r w:rsidR="001A25F2" w:rsidRPr="00733C90">
        <w:rPr>
          <w:lang w:val="sr-Cyrl-BA"/>
        </w:rPr>
        <w:t>.</w:t>
      </w:r>
      <w:r w:rsidR="00D76433" w:rsidRPr="00733C90">
        <w:rPr>
          <w:lang w:val="hr-HR"/>
        </w:rPr>
        <w:t xml:space="preserve"> </w:t>
      </w:r>
      <w:r w:rsidRPr="00733C90">
        <w:t>20</w:t>
      </w:r>
      <w:r w:rsidR="001A25F2" w:rsidRPr="00733C90">
        <w:rPr>
          <w:lang w:val="sr-Cyrl-BA"/>
        </w:rPr>
        <w:t>2</w:t>
      </w:r>
      <w:r w:rsidR="00733C90">
        <w:rPr>
          <w:lang w:val="sr-Cyrl-BA"/>
        </w:rPr>
        <w:t>4</w:t>
      </w:r>
      <w:r w:rsidRPr="002B22B5">
        <w:t>.године, доноси</w:t>
      </w:r>
      <w:bookmarkEnd w:id="0"/>
    </w:p>
    <w:p w14:paraId="48CD0FBE" w14:textId="77777777" w:rsidR="003663F9" w:rsidRPr="002B22B5" w:rsidRDefault="003663F9" w:rsidP="00884BFB">
      <w:pPr>
        <w:jc w:val="both"/>
        <w:rPr>
          <w:lang w:val="sr-Cyrl-BA"/>
        </w:rPr>
      </w:pPr>
    </w:p>
    <w:p w14:paraId="7DE1C3C3" w14:textId="77777777" w:rsidR="003663F9" w:rsidRPr="00310E29" w:rsidRDefault="003663F9" w:rsidP="00884BFB">
      <w:pPr>
        <w:jc w:val="center"/>
        <w:rPr>
          <w:b/>
          <w:bCs/>
          <w:lang w:val="sr-Cyrl-BA"/>
        </w:rPr>
      </w:pPr>
      <w:r w:rsidRPr="00310E29">
        <w:rPr>
          <w:b/>
          <w:bCs/>
          <w:lang w:val="sr-Cyrl-BA"/>
        </w:rPr>
        <w:t>О Д Л У К У</w:t>
      </w:r>
    </w:p>
    <w:p w14:paraId="59200494" w14:textId="77777777" w:rsidR="003663F9" w:rsidRPr="00310E29" w:rsidRDefault="003663F9" w:rsidP="00884BFB">
      <w:pPr>
        <w:jc w:val="center"/>
        <w:rPr>
          <w:b/>
          <w:bCs/>
          <w:lang w:val="sr-Cyrl-BA"/>
        </w:rPr>
      </w:pPr>
      <w:r w:rsidRPr="00310E29">
        <w:rPr>
          <w:b/>
          <w:bCs/>
          <w:lang w:val="sr-Cyrl-BA"/>
        </w:rPr>
        <w:t xml:space="preserve">о </w:t>
      </w:r>
      <w:r w:rsidR="0037594E" w:rsidRPr="00310E29">
        <w:rPr>
          <w:b/>
          <w:bCs/>
          <w:lang w:val="sr-Cyrl-RS"/>
        </w:rPr>
        <w:t>висини вриједности н</w:t>
      </w:r>
      <w:r w:rsidRPr="00310E29">
        <w:rPr>
          <w:b/>
          <w:bCs/>
          <w:lang w:val="sr-Cyrl-BA"/>
        </w:rPr>
        <w:t>епокретности</w:t>
      </w:r>
      <w:r w:rsidR="0037594E" w:rsidRPr="00310E29">
        <w:rPr>
          <w:b/>
          <w:bCs/>
          <w:lang w:val="sr-Cyrl-BA"/>
        </w:rPr>
        <w:t xml:space="preserve"> по зонама</w:t>
      </w:r>
    </w:p>
    <w:p w14:paraId="3C5C7B9B" w14:textId="77777777" w:rsidR="003663F9" w:rsidRPr="00310E29" w:rsidRDefault="003663F9" w:rsidP="00884BFB">
      <w:pPr>
        <w:jc w:val="center"/>
        <w:rPr>
          <w:lang w:val="sr-Cyrl-BA"/>
        </w:rPr>
      </w:pPr>
      <w:r w:rsidRPr="00310E29">
        <w:rPr>
          <w:b/>
          <w:bCs/>
          <w:lang w:val="sr-Cyrl-BA"/>
        </w:rPr>
        <w:t xml:space="preserve">на подручју општине Брод </w:t>
      </w:r>
      <w:r w:rsidR="00F06BBF" w:rsidRPr="00310E29">
        <w:rPr>
          <w:b/>
          <w:bCs/>
          <w:lang w:val="sr-Cyrl-BA"/>
        </w:rPr>
        <w:t>з</w:t>
      </w:r>
      <w:r w:rsidR="00F06BBF" w:rsidRPr="00310E29">
        <w:rPr>
          <w:b/>
          <w:bCs/>
          <w:lang w:val="hr-HR"/>
        </w:rPr>
        <w:t>a</w:t>
      </w:r>
      <w:r w:rsidR="00E84EE5" w:rsidRPr="00310E29">
        <w:rPr>
          <w:b/>
          <w:bCs/>
          <w:lang w:val="sr-Cyrl-BA"/>
        </w:rPr>
        <w:t xml:space="preserve"> 20</w:t>
      </w:r>
      <w:r w:rsidR="00991847" w:rsidRPr="00310E29">
        <w:rPr>
          <w:b/>
          <w:bCs/>
          <w:lang w:val="sr-Cyrl-BA"/>
        </w:rPr>
        <w:t>2</w:t>
      </w:r>
      <w:r w:rsidR="00733C90">
        <w:rPr>
          <w:b/>
          <w:bCs/>
          <w:lang w:val="hr-HR"/>
        </w:rPr>
        <w:t>5</w:t>
      </w:r>
      <w:r w:rsidRPr="00310E29">
        <w:rPr>
          <w:b/>
          <w:bCs/>
          <w:lang w:val="sr-Cyrl-BA"/>
        </w:rPr>
        <w:t>. годин</w:t>
      </w:r>
      <w:r w:rsidR="00F06BBF" w:rsidRPr="00310E29">
        <w:rPr>
          <w:b/>
          <w:bCs/>
          <w:lang w:val="sr-Cyrl-BA"/>
        </w:rPr>
        <w:t>у</w:t>
      </w:r>
    </w:p>
    <w:p w14:paraId="42FEBAFB" w14:textId="77777777" w:rsidR="003663F9" w:rsidRPr="002B22B5" w:rsidRDefault="003663F9" w:rsidP="00884BFB">
      <w:pPr>
        <w:jc w:val="center"/>
        <w:rPr>
          <w:lang w:val="sr-Cyrl-BA"/>
        </w:rPr>
      </w:pPr>
    </w:p>
    <w:p w14:paraId="41580893" w14:textId="77777777" w:rsidR="003663F9" w:rsidRPr="002B22B5" w:rsidRDefault="003663F9" w:rsidP="00884BFB">
      <w:pPr>
        <w:jc w:val="center"/>
        <w:rPr>
          <w:lang w:val="sr-Cyrl-BA"/>
        </w:rPr>
      </w:pPr>
    </w:p>
    <w:p w14:paraId="694DBDA0" w14:textId="77777777" w:rsidR="007A2D66" w:rsidRPr="002B22B5" w:rsidRDefault="00931BFA" w:rsidP="00884BFB">
      <w:pPr>
        <w:jc w:val="center"/>
        <w:rPr>
          <w:b/>
          <w:bCs/>
          <w:lang w:val="hr-HR"/>
        </w:rPr>
      </w:pPr>
      <w:r w:rsidRPr="002B22B5">
        <w:rPr>
          <w:b/>
          <w:bCs/>
          <w:lang w:val="hr-HR"/>
        </w:rPr>
        <w:t>I</w:t>
      </w:r>
    </w:p>
    <w:p w14:paraId="6670953D" w14:textId="77777777" w:rsidR="003663F9" w:rsidRPr="002B22B5" w:rsidRDefault="003663F9" w:rsidP="001A25F2">
      <w:pPr>
        <w:ind w:firstLine="720"/>
        <w:jc w:val="both"/>
        <w:rPr>
          <w:lang w:val="sr-Cyrl-BA"/>
        </w:rPr>
      </w:pPr>
      <w:r w:rsidRPr="002B22B5">
        <w:rPr>
          <w:lang w:val="sr-Cyrl-BA"/>
        </w:rPr>
        <w:t>О</w:t>
      </w:r>
      <w:r w:rsidR="00CF5E21" w:rsidRPr="002B22B5">
        <w:rPr>
          <w:lang w:val="sr-Cyrl-BA"/>
        </w:rPr>
        <w:t xml:space="preserve">вом одлуком </w:t>
      </w:r>
      <w:r w:rsidRPr="002B22B5">
        <w:rPr>
          <w:lang w:val="sr-Cyrl-BA"/>
        </w:rPr>
        <w:t xml:space="preserve">утврђује се </w:t>
      </w:r>
      <w:r w:rsidR="00FE0D3D" w:rsidRPr="002B22B5">
        <w:rPr>
          <w:lang w:val="sr-Cyrl-BA"/>
        </w:rPr>
        <w:t>висина</w:t>
      </w:r>
      <w:r w:rsidR="00021A87" w:rsidRPr="002B22B5">
        <w:rPr>
          <w:lang w:val="sr-Cyrl-BA"/>
        </w:rPr>
        <w:t xml:space="preserve"> тржишне</w:t>
      </w:r>
      <w:r w:rsidR="00FE0D3D" w:rsidRPr="002B22B5">
        <w:rPr>
          <w:lang w:val="sr-Cyrl-BA"/>
        </w:rPr>
        <w:t xml:space="preserve"> вриједности</w:t>
      </w:r>
      <w:r w:rsidRPr="002B22B5">
        <w:rPr>
          <w:lang w:val="sr-Cyrl-BA"/>
        </w:rPr>
        <w:t xml:space="preserve"> непокретности</w:t>
      </w:r>
      <w:r w:rsidR="00FE0D3D" w:rsidRPr="002B22B5">
        <w:rPr>
          <w:lang w:val="sr-Cyrl-BA"/>
        </w:rPr>
        <w:t xml:space="preserve"> по зонама</w:t>
      </w:r>
      <w:r w:rsidR="00721A41" w:rsidRPr="002B22B5">
        <w:rPr>
          <w:lang w:val="sr-Cyrl-BA"/>
        </w:rPr>
        <w:t xml:space="preserve"> на</w:t>
      </w:r>
      <w:r w:rsidR="001A25F2" w:rsidRPr="002B22B5">
        <w:rPr>
          <w:lang w:val="sr-Cyrl-BA"/>
        </w:rPr>
        <w:t xml:space="preserve"> </w:t>
      </w:r>
      <w:r w:rsidRPr="002B22B5">
        <w:rPr>
          <w:lang w:val="sr-Cyrl-BA"/>
        </w:rPr>
        <w:t>подручју општине Брод</w:t>
      </w:r>
      <w:r w:rsidR="00991847" w:rsidRPr="002B22B5">
        <w:rPr>
          <w:lang w:val="sr-Cyrl-BA"/>
        </w:rPr>
        <w:t xml:space="preserve"> у 202</w:t>
      </w:r>
      <w:r w:rsidR="00733C90">
        <w:rPr>
          <w:lang w:val="hr-HR"/>
        </w:rPr>
        <w:t>5</w:t>
      </w:r>
      <w:r w:rsidR="00CF5E21" w:rsidRPr="002B22B5">
        <w:rPr>
          <w:lang w:val="sr-Cyrl-BA"/>
        </w:rPr>
        <w:t xml:space="preserve">. </w:t>
      </w:r>
      <w:r w:rsidR="007A2D66" w:rsidRPr="002B22B5">
        <w:rPr>
          <w:lang w:val="sr-Cyrl-BA"/>
        </w:rPr>
        <w:t>г</w:t>
      </w:r>
      <w:r w:rsidR="00CF5E21" w:rsidRPr="002B22B5">
        <w:rPr>
          <w:lang w:val="sr-Cyrl-BA"/>
        </w:rPr>
        <w:t>одини</w:t>
      </w:r>
      <w:r w:rsidR="00021A87" w:rsidRPr="002B22B5">
        <w:rPr>
          <w:lang w:val="sr-Cyrl-BA"/>
        </w:rPr>
        <w:t>,</w:t>
      </w:r>
      <w:r w:rsidR="00721A41" w:rsidRPr="002B22B5">
        <w:rPr>
          <w:lang w:val="sr-Cyrl-BA"/>
        </w:rPr>
        <w:t xml:space="preserve"> за слиједеће непокретности</w:t>
      </w:r>
      <w:r w:rsidR="00021A87" w:rsidRPr="002B22B5">
        <w:rPr>
          <w:lang w:val="sr-Cyrl-BA"/>
        </w:rPr>
        <w:t>:</w:t>
      </w:r>
    </w:p>
    <w:p w14:paraId="081A3781" w14:textId="77777777" w:rsidR="00021A87" w:rsidRPr="002B22B5" w:rsidRDefault="00021A87" w:rsidP="00884BFB">
      <w:pPr>
        <w:numPr>
          <w:ilvl w:val="0"/>
          <w:numId w:val="3"/>
        </w:numPr>
        <w:jc w:val="both"/>
        <w:rPr>
          <w:lang w:val="sr-Cyrl-BA"/>
        </w:rPr>
      </w:pPr>
      <w:r w:rsidRPr="002B22B5">
        <w:rPr>
          <w:lang w:val="sr-Cyrl-BA"/>
        </w:rPr>
        <w:t>земљиште (грађевинско,</w:t>
      </w:r>
      <w:r w:rsidR="00A74D9C" w:rsidRPr="002B22B5">
        <w:rPr>
          <w:lang w:val="sr-Cyrl-BA"/>
        </w:rPr>
        <w:t xml:space="preserve"> </w:t>
      </w:r>
      <w:r w:rsidRPr="002B22B5">
        <w:rPr>
          <w:lang w:val="sr-Cyrl-BA"/>
        </w:rPr>
        <w:t>пољопривредно,</w:t>
      </w:r>
      <w:r w:rsidR="00A74D9C" w:rsidRPr="002B22B5">
        <w:rPr>
          <w:lang w:val="sr-Cyrl-BA"/>
        </w:rPr>
        <w:t xml:space="preserve"> </w:t>
      </w:r>
      <w:r w:rsidRPr="002B22B5">
        <w:rPr>
          <w:lang w:val="sr-Cyrl-BA"/>
        </w:rPr>
        <w:t>шумско,</w:t>
      </w:r>
      <w:r w:rsidR="00A74D9C" w:rsidRPr="002B22B5">
        <w:rPr>
          <w:lang w:val="sr-Cyrl-BA"/>
        </w:rPr>
        <w:t xml:space="preserve"> </w:t>
      </w:r>
      <w:r w:rsidRPr="002B22B5">
        <w:rPr>
          <w:lang w:val="sr-Cyrl-BA"/>
        </w:rPr>
        <w:t>индустријско и остало) и</w:t>
      </w:r>
    </w:p>
    <w:p w14:paraId="70D00A61" w14:textId="77777777" w:rsidR="00021A87" w:rsidRPr="002B22B5" w:rsidRDefault="00021A87" w:rsidP="00884BFB">
      <w:pPr>
        <w:numPr>
          <w:ilvl w:val="0"/>
          <w:numId w:val="3"/>
        </w:numPr>
        <w:jc w:val="both"/>
        <w:rPr>
          <w:lang w:val="sr-Cyrl-BA"/>
        </w:rPr>
      </w:pPr>
      <w:r w:rsidRPr="002B22B5">
        <w:rPr>
          <w:lang w:val="sr-Cyrl-BA"/>
        </w:rPr>
        <w:t>грађевинске објекте (стан,</w:t>
      </w:r>
      <w:r w:rsidR="00A74D9C" w:rsidRPr="002B22B5">
        <w:rPr>
          <w:lang w:val="sr-Cyrl-BA"/>
        </w:rPr>
        <w:t xml:space="preserve"> </w:t>
      </w:r>
      <w:r w:rsidRPr="002B22B5">
        <w:rPr>
          <w:lang w:val="sr-Cyrl-BA"/>
        </w:rPr>
        <w:t>кућа,</w:t>
      </w:r>
      <w:r w:rsidR="00A74D9C" w:rsidRPr="002B22B5">
        <w:rPr>
          <w:lang w:val="sr-Cyrl-BA"/>
        </w:rPr>
        <w:t xml:space="preserve"> </w:t>
      </w:r>
      <w:r w:rsidRPr="002B22B5">
        <w:rPr>
          <w:lang w:val="sr-Cyrl-BA"/>
        </w:rPr>
        <w:t>пословни,</w:t>
      </w:r>
      <w:r w:rsidR="00A74D9C" w:rsidRPr="002B22B5">
        <w:rPr>
          <w:lang w:val="sr-Cyrl-BA"/>
        </w:rPr>
        <w:t xml:space="preserve"> </w:t>
      </w:r>
      <w:r w:rsidRPr="002B22B5">
        <w:rPr>
          <w:lang w:val="sr-Cyrl-BA"/>
        </w:rPr>
        <w:t>индустријски и остали објекти)</w:t>
      </w:r>
    </w:p>
    <w:p w14:paraId="782B261E" w14:textId="77777777" w:rsidR="003663F9" w:rsidRPr="002B22B5" w:rsidRDefault="003663F9" w:rsidP="00884BFB">
      <w:pPr>
        <w:jc w:val="both"/>
        <w:rPr>
          <w:lang w:val="sr-Cyrl-BA"/>
        </w:rPr>
      </w:pPr>
    </w:p>
    <w:p w14:paraId="2A6248E8" w14:textId="77777777" w:rsidR="00021A87" w:rsidRPr="002B22B5" w:rsidRDefault="00931BFA" w:rsidP="00884BFB">
      <w:pPr>
        <w:jc w:val="center"/>
        <w:rPr>
          <w:b/>
          <w:bCs/>
          <w:lang w:val="hr-HR"/>
        </w:rPr>
      </w:pPr>
      <w:r w:rsidRPr="002B22B5">
        <w:rPr>
          <w:b/>
          <w:bCs/>
          <w:lang w:val="hr-HR"/>
        </w:rPr>
        <w:t>II</w:t>
      </w:r>
    </w:p>
    <w:p w14:paraId="1793B770" w14:textId="77777777" w:rsidR="00021A87" w:rsidRPr="002B22B5" w:rsidRDefault="00021A87" w:rsidP="00884BFB">
      <w:pPr>
        <w:ind w:firstLine="720"/>
        <w:jc w:val="both"/>
        <w:rPr>
          <w:bCs/>
          <w:lang w:val="sr-Cyrl-BA"/>
        </w:rPr>
      </w:pPr>
      <w:r w:rsidRPr="002B22B5">
        <w:rPr>
          <w:bCs/>
          <w:lang w:val="sr-Cyrl-BA"/>
        </w:rPr>
        <w:t>Тржишне вриједности непокретности из члана 1.</w:t>
      </w:r>
      <w:r w:rsidR="00C87CCB" w:rsidRPr="002B22B5">
        <w:rPr>
          <w:bCs/>
          <w:lang w:val="sr-Cyrl-BA"/>
        </w:rPr>
        <w:t xml:space="preserve"> </w:t>
      </w:r>
      <w:r w:rsidR="00D42595" w:rsidRPr="002B22B5">
        <w:rPr>
          <w:bCs/>
          <w:lang w:val="sr-Cyrl-BA"/>
        </w:rPr>
        <w:t xml:space="preserve">ове </w:t>
      </w:r>
      <w:r w:rsidR="00C87CCB" w:rsidRPr="002B22B5">
        <w:rPr>
          <w:bCs/>
          <w:lang w:val="sr-Cyrl-BA"/>
        </w:rPr>
        <w:t>о</w:t>
      </w:r>
      <w:r w:rsidR="00D42595" w:rsidRPr="002B22B5">
        <w:rPr>
          <w:bCs/>
          <w:lang w:val="sr-Cyrl-BA"/>
        </w:rPr>
        <w:t>длуке утврђују се у висини</w:t>
      </w:r>
      <w:r w:rsidR="00C87CCB" w:rsidRPr="002B22B5">
        <w:rPr>
          <w:bCs/>
          <w:lang w:val="sr-Cyrl-BA"/>
        </w:rPr>
        <w:t xml:space="preserve"> </w:t>
      </w:r>
      <w:r w:rsidR="0001218B" w:rsidRPr="002B22B5">
        <w:rPr>
          <w:bCs/>
          <w:lang w:val="sr-Cyrl-BA"/>
        </w:rPr>
        <w:t xml:space="preserve">исказаној у </w:t>
      </w:r>
      <w:r w:rsidR="005A567E">
        <w:rPr>
          <w:bCs/>
          <w:lang w:val="sr-Cyrl-BA"/>
        </w:rPr>
        <w:t>т</w:t>
      </w:r>
      <w:r w:rsidR="0001218B" w:rsidRPr="002B22B5">
        <w:rPr>
          <w:bCs/>
          <w:lang w:val="sr-Cyrl-BA"/>
        </w:rPr>
        <w:t xml:space="preserve">абели </w:t>
      </w:r>
      <w:r w:rsidRPr="002B22B5">
        <w:rPr>
          <w:bCs/>
          <w:lang w:val="sr-Cyrl-BA"/>
        </w:rPr>
        <w:t xml:space="preserve">која чини саставни дио ове </w:t>
      </w:r>
      <w:r w:rsidR="00C87CCB" w:rsidRPr="002B22B5">
        <w:rPr>
          <w:bCs/>
          <w:lang w:val="sr-Cyrl-BA"/>
        </w:rPr>
        <w:t>о</w:t>
      </w:r>
      <w:r w:rsidRPr="002B22B5">
        <w:rPr>
          <w:bCs/>
          <w:lang w:val="sr-Cyrl-BA"/>
        </w:rPr>
        <w:t>длуке.</w:t>
      </w:r>
    </w:p>
    <w:p w14:paraId="18F0FE49" w14:textId="77777777" w:rsidR="0053607F" w:rsidRPr="002B22B5" w:rsidRDefault="0053607F" w:rsidP="00884BFB">
      <w:pPr>
        <w:jc w:val="both"/>
        <w:rPr>
          <w:lang w:val="sr-Cyrl-BA"/>
        </w:rPr>
      </w:pPr>
    </w:p>
    <w:p w14:paraId="7057EBA4" w14:textId="77777777" w:rsidR="00021A87" w:rsidRPr="002B22B5" w:rsidRDefault="00931BFA" w:rsidP="00884BFB">
      <w:pPr>
        <w:jc w:val="center"/>
        <w:rPr>
          <w:b/>
          <w:lang w:val="hr-HR"/>
        </w:rPr>
      </w:pPr>
      <w:r w:rsidRPr="002B22B5">
        <w:rPr>
          <w:b/>
          <w:lang w:val="hr-HR"/>
        </w:rPr>
        <w:t>III</w:t>
      </w:r>
    </w:p>
    <w:p w14:paraId="77F7EA76" w14:textId="77777777" w:rsidR="00021A87" w:rsidRPr="002B22B5" w:rsidRDefault="00D42595" w:rsidP="00884BFB">
      <w:pPr>
        <w:jc w:val="both"/>
        <w:rPr>
          <w:lang w:val="sr-Cyrl-BA"/>
        </w:rPr>
      </w:pPr>
      <w:r w:rsidRPr="002B22B5">
        <w:rPr>
          <w:lang w:val="sr-Cyrl-BA"/>
        </w:rPr>
        <w:t xml:space="preserve">   </w:t>
      </w:r>
      <w:r w:rsidR="00C87CCB" w:rsidRPr="002B22B5">
        <w:rPr>
          <w:lang w:val="sr-Cyrl-BA"/>
        </w:rPr>
        <w:tab/>
      </w:r>
      <w:r w:rsidR="00021A87" w:rsidRPr="002B22B5">
        <w:rPr>
          <w:lang w:val="sr-Cyrl-BA"/>
        </w:rPr>
        <w:t>Тржишне вриједнос</w:t>
      </w:r>
      <w:r w:rsidR="00C87CCB" w:rsidRPr="002B22B5">
        <w:rPr>
          <w:lang w:val="sr-Cyrl-BA"/>
        </w:rPr>
        <w:t>ти непокретности утврђене овом о</w:t>
      </w:r>
      <w:r w:rsidR="00021A87" w:rsidRPr="002B22B5">
        <w:rPr>
          <w:lang w:val="sr-Cyrl-BA"/>
        </w:rPr>
        <w:t>длуком</w:t>
      </w:r>
      <w:r w:rsidR="006C78D8" w:rsidRPr="002B22B5">
        <w:rPr>
          <w:lang w:val="sr-Latn-RS"/>
        </w:rPr>
        <w:t xml:space="preserve"> </w:t>
      </w:r>
      <w:r w:rsidR="00021A87" w:rsidRPr="002B22B5">
        <w:rPr>
          <w:lang w:val="sr-Cyrl-BA"/>
        </w:rPr>
        <w:t>служе</w:t>
      </w:r>
      <w:r w:rsidR="006C78D8" w:rsidRPr="002B22B5">
        <w:rPr>
          <w:lang w:val="sr-Cyrl-BA"/>
        </w:rPr>
        <w:t xml:space="preserve"> Пореској уп</w:t>
      </w:r>
      <w:r w:rsidR="005D3A20" w:rsidRPr="002B22B5">
        <w:rPr>
          <w:lang w:val="sr-Cyrl-BA"/>
        </w:rPr>
        <w:t>р</w:t>
      </w:r>
      <w:r w:rsidRPr="002B22B5">
        <w:rPr>
          <w:lang w:val="sr-Cyrl-BA"/>
        </w:rPr>
        <w:t xml:space="preserve">ави </w:t>
      </w:r>
      <w:r w:rsidR="006C78D8" w:rsidRPr="002B22B5">
        <w:rPr>
          <w:lang w:val="sr-Cyrl-BA"/>
        </w:rPr>
        <w:t>Републике Српске,</w:t>
      </w:r>
      <w:r w:rsidR="005D3A20" w:rsidRPr="002B22B5">
        <w:rPr>
          <w:lang w:val="sr-Cyrl-BA"/>
        </w:rPr>
        <w:t xml:space="preserve"> </w:t>
      </w:r>
      <w:r w:rsidR="006C78D8" w:rsidRPr="002B22B5">
        <w:rPr>
          <w:lang w:val="sr-Cyrl-BA"/>
        </w:rPr>
        <w:t xml:space="preserve">за утврђивање пореске основице за обрачун пореза </w:t>
      </w:r>
      <w:r w:rsidR="00991847" w:rsidRPr="002B22B5">
        <w:rPr>
          <w:lang w:val="sr-Cyrl-BA"/>
        </w:rPr>
        <w:t>на непокретности за пореску 202</w:t>
      </w:r>
      <w:r w:rsidR="00733C90">
        <w:rPr>
          <w:lang w:val="hr-HR"/>
        </w:rPr>
        <w:t>5</w:t>
      </w:r>
      <w:r w:rsidR="006C78D8" w:rsidRPr="002B22B5">
        <w:rPr>
          <w:lang w:val="sr-Cyrl-BA"/>
        </w:rPr>
        <w:t>.</w:t>
      </w:r>
      <w:r w:rsidR="005D3A20" w:rsidRPr="002B22B5">
        <w:rPr>
          <w:lang w:val="sr-Cyrl-BA"/>
        </w:rPr>
        <w:t xml:space="preserve"> </w:t>
      </w:r>
      <w:r w:rsidR="006C78D8" w:rsidRPr="002B22B5">
        <w:rPr>
          <w:lang w:val="sr-Cyrl-BA"/>
        </w:rPr>
        <w:t>годину</w:t>
      </w:r>
      <w:r w:rsidR="00133E08" w:rsidRPr="002B22B5">
        <w:rPr>
          <w:lang w:val="sr-Cyrl-BA"/>
        </w:rPr>
        <w:t xml:space="preserve"> на подручју општине Брод</w:t>
      </w:r>
      <w:r w:rsidR="006C78D8" w:rsidRPr="002B22B5">
        <w:rPr>
          <w:lang w:val="sr-Cyrl-BA"/>
        </w:rPr>
        <w:t>,</w:t>
      </w:r>
      <w:r w:rsidR="005D3A20" w:rsidRPr="002B22B5">
        <w:rPr>
          <w:lang w:val="sr-Cyrl-BA"/>
        </w:rPr>
        <w:t xml:space="preserve"> </w:t>
      </w:r>
      <w:r w:rsidR="006C78D8" w:rsidRPr="002B22B5">
        <w:rPr>
          <w:lang w:val="sr-Cyrl-BA"/>
        </w:rPr>
        <w:t>уз примјену корективних коефицијената према карактеристикама непокретности наведених у пријави за упис у Фискални регистар непокретности,</w:t>
      </w:r>
      <w:r w:rsidR="005D3A20" w:rsidRPr="002B22B5">
        <w:rPr>
          <w:lang w:val="sr-Cyrl-BA"/>
        </w:rPr>
        <w:t xml:space="preserve"> </w:t>
      </w:r>
      <w:r w:rsidR="006C78D8" w:rsidRPr="002B22B5">
        <w:rPr>
          <w:lang w:val="sr-Cyrl-BA"/>
        </w:rPr>
        <w:t>у складу са законом.</w:t>
      </w:r>
    </w:p>
    <w:p w14:paraId="7CEAA2AE" w14:textId="77777777" w:rsidR="00B36E4A" w:rsidRPr="002B22B5" w:rsidRDefault="00B36E4A" w:rsidP="00884BFB">
      <w:pPr>
        <w:jc w:val="both"/>
        <w:rPr>
          <w:lang w:val="sr-Cyrl-BA"/>
        </w:rPr>
      </w:pPr>
    </w:p>
    <w:p w14:paraId="506FEA1E" w14:textId="77777777" w:rsidR="005D3A20" w:rsidRPr="002B22B5" w:rsidRDefault="00931BFA" w:rsidP="00884BFB">
      <w:pPr>
        <w:jc w:val="center"/>
        <w:rPr>
          <w:b/>
          <w:lang w:val="hr-HR"/>
        </w:rPr>
      </w:pPr>
      <w:r w:rsidRPr="002B22B5">
        <w:rPr>
          <w:b/>
          <w:lang w:val="hr-HR"/>
        </w:rPr>
        <w:t>IV</w:t>
      </w:r>
    </w:p>
    <w:p w14:paraId="707552F1" w14:textId="77777777" w:rsidR="005D3A20" w:rsidRPr="002B22B5" w:rsidRDefault="00D42595" w:rsidP="00884BFB">
      <w:pPr>
        <w:tabs>
          <w:tab w:val="left" w:pos="360"/>
        </w:tabs>
        <w:jc w:val="both"/>
        <w:rPr>
          <w:lang w:val="sr-Cyrl-BA"/>
        </w:rPr>
      </w:pPr>
      <w:r w:rsidRPr="002B22B5">
        <w:rPr>
          <w:lang w:val="sr-Cyrl-BA"/>
        </w:rPr>
        <w:tab/>
      </w:r>
      <w:r w:rsidR="00C87CCB" w:rsidRPr="002B22B5">
        <w:rPr>
          <w:lang w:val="sr-Cyrl-BA"/>
        </w:rPr>
        <w:tab/>
        <w:t>Саставни дио ове о</w:t>
      </w:r>
      <w:r w:rsidR="006C78D8" w:rsidRPr="002B22B5">
        <w:rPr>
          <w:lang w:val="sr-Cyrl-BA"/>
        </w:rPr>
        <w:t xml:space="preserve">длуке </w:t>
      </w:r>
      <w:r w:rsidR="00F96254" w:rsidRPr="002B22B5">
        <w:rPr>
          <w:lang w:val="sr-Cyrl-BA"/>
        </w:rPr>
        <w:t>је</w:t>
      </w:r>
      <w:r w:rsidR="006C78D8" w:rsidRPr="002B22B5">
        <w:rPr>
          <w:lang w:val="sr-Cyrl-BA"/>
        </w:rPr>
        <w:t xml:space="preserve"> </w:t>
      </w:r>
      <w:r w:rsidR="00F96254" w:rsidRPr="002B22B5">
        <w:rPr>
          <w:lang w:val="sr-Cyrl-BA"/>
        </w:rPr>
        <w:t xml:space="preserve">табеларни преглед </w:t>
      </w:r>
      <w:r w:rsidR="005D3A20" w:rsidRPr="002B22B5">
        <w:rPr>
          <w:lang w:val="sr-Cyrl-BA"/>
        </w:rPr>
        <w:t>тржи</w:t>
      </w:r>
      <w:r w:rsidRPr="002B22B5">
        <w:rPr>
          <w:lang w:val="sr-Cyrl-BA"/>
        </w:rPr>
        <w:t>шн</w:t>
      </w:r>
      <w:r w:rsidR="00F96254" w:rsidRPr="002B22B5">
        <w:rPr>
          <w:lang w:val="sr-Cyrl-BA"/>
        </w:rPr>
        <w:t>их</w:t>
      </w:r>
      <w:r w:rsidR="0001218B" w:rsidRPr="002B22B5">
        <w:rPr>
          <w:lang w:val="sr-Cyrl-BA"/>
        </w:rPr>
        <w:t xml:space="preserve"> </w:t>
      </w:r>
      <w:r w:rsidR="006C78D8" w:rsidRPr="002B22B5">
        <w:rPr>
          <w:lang w:val="sr-Cyrl-BA"/>
        </w:rPr>
        <w:t>вриједности непокретности по зо</w:t>
      </w:r>
      <w:r w:rsidR="005D3A20" w:rsidRPr="002B22B5">
        <w:rPr>
          <w:lang w:val="sr-Cyrl-BA"/>
        </w:rPr>
        <w:t>н</w:t>
      </w:r>
      <w:r w:rsidR="006C78D8" w:rsidRPr="002B22B5">
        <w:rPr>
          <w:lang w:val="sr-Cyrl-BA"/>
        </w:rPr>
        <w:t xml:space="preserve">ама на подручју општине </w:t>
      </w:r>
      <w:r w:rsidR="007A2D66" w:rsidRPr="002B22B5">
        <w:rPr>
          <w:lang w:val="sr-Cyrl-BA"/>
        </w:rPr>
        <w:t>Брод.</w:t>
      </w:r>
    </w:p>
    <w:p w14:paraId="5FFBE3C8" w14:textId="77777777" w:rsidR="005D3A20" w:rsidRPr="002B22B5" w:rsidRDefault="005D3A20" w:rsidP="00884BFB">
      <w:pPr>
        <w:jc w:val="both"/>
        <w:rPr>
          <w:lang w:val="sr-Cyrl-BA"/>
        </w:rPr>
      </w:pPr>
    </w:p>
    <w:p w14:paraId="5D5E4FCA" w14:textId="77777777" w:rsidR="003663F9" w:rsidRPr="002B22B5" w:rsidRDefault="00931BFA" w:rsidP="00884BFB">
      <w:pPr>
        <w:jc w:val="center"/>
        <w:rPr>
          <w:b/>
          <w:bCs/>
          <w:lang w:val="sr-Cyrl-BA"/>
        </w:rPr>
      </w:pPr>
      <w:r w:rsidRPr="002B22B5">
        <w:rPr>
          <w:b/>
          <w:lang w:val="hr-HR"/>
        </w:rPr>
        <w:t>V</w:t>
      </w:r>
      <w:r w:rsidR="00884BFB" w:rsidRPr="002B22B5">
        <w:rPr>
          <w:b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627D3F3" w14:textId="77777777" w:rsidR="003663F9" w:rsidRPr="002B22B5" w:rsidRDefault="003663F9" w:rsidP="00884BFB">
      <w:pPr>
        <w:pStyle w:val="BodyText"/>
        <w:ind w:firstLine="720"/>
        <w:rPr>
          <w:lang w:val="sr-Cyrl-BA"/>
        </w:rPr>
      </w:pPr>
      <w:r w:rsidRPr="002B22B5">
        <w:rPr>
          <w:lang w:val="sr-Cyrl-BA"/>
        </w:rPr>
        <w:t xml:space="preserve">Ова Одлука ступа на снагу </w:t>
      </w:r>
      <w:r w:rsidR="00970F64" w:rsidRPr="002B22B5">
        <w:rPr>
          <w:lang w:val="sr-Cyrl-BA"/>
        </w:rPr>
        <w:t>осмог дана од дана објављивања</w:t>
      </w:r>
      <w:r w:rsidR="00C87CCB" w:rsidRPr="002B22B5">
        <w:rPr>
          <w:lang w:val="sr-Cyrl-BA"/>
        </w:rPr>
        <w:t xml:space="preserve"> у „</w:t>
      </w:r>
      <w:r w:rsidR="001E0BCE" w:rsidRPr="002B22B5">
        <w:rPr>
          <w:lang w:val="sr-Cyrl-BA"/>
        </w:rPr>
        <w:t>Службеном гласнику</w:t>
      </w:r>
      <w:r w:rsidR="00AE63B7" w:rsidRPr="002B22B5">
        <w:rPr>
          <w:lang w:val="sr-Cyrl-BA"/>
        </w:rPr>
        <w:t xml:space="preserve"> </w:t>
      </w:r>
      <w:r w:rsidRPr="002B22B5">
        <w:rPr>
          <w:lang w:val="sr-Cyrl-BA"/>
        </w:rPr>
        <w:t>општине Брод</w:t>
      </w:r>
      <w:r w:rsidR="00C87CCB" w:rsidRPr="002B22B5">
        <w:rPr>
          <w:lang w:val="sr-Cyrl-BA"/>
        </w:rPr>
        <w:t>“.</w:t>
      </w:r>
    </w:p>
    <w:p w14:paraId="40FAC368" w14:textId="77777777" w:rsidR="00377BFE" w:rsidRPr="002B22B5" w:rsidRDefault="00377BFE" w:rsidP="00884BFB">
      <w:pPr>
        <w:pStyle w:val="BodyText"/>
        <w:rPr>
          <w:lang w:val="sr-Cyrl-BA"/>
        </w:rPr>
      </w:pPr>
    </w:p>
    <w:p w14:paraId="6F27341C" w14:textId="77777777" w:rsidR="00121F73" w:rsidRPr="002B22B5" w:rsidRDefault="00121F73" w:rsidP="00884BFB">
      <w:pPr>
        <w:jc w:val="both"/>
        <w:rPr>
          <w:lang w:val="sr-Cyrl-BA"/>
        </w:rPr>
      </w:pPr>
    </w:p>
    <w:p w14:paraId="4E071360" w14:textId="77777777" w:rsidR="0056380B" w:rsidRPr="000C0B7D" w:rsidRDefault="0056380B" w:rsidP="0056380B">
      <w:pPr>
        <w:rPr>
          <w:rFonts w:asciiTheme="majorHAnsi" w:hAnsiTheme="majorHAnsi"/>
          <w:lang w:val="sr-Cyrl-CS"/>
        </w:rPr>
      </w:pPr>
      <w:r w:rsidRPr="000C0B7D">
        <w:rPr>
          <w:rFonts w:asciiTheme="majorHAnsi" w:hAnsiTheme="majorHAnsi"/>
          <w:lang w:val="sr-Cyrl-CS"/>
        </w:rPr>
        <w:t xml:space="preserve">Број: </w:t>
      </w:r>
      <w:r w:rsidRPr="000C0B7D">
        <w:rPr>
          <w:rFonts w:asciiTheme="majorHAnsi" w:hAnsiTheme="majorHAnsi"/>
          <w:lang w:val="sr-Cyrl-CS"/>
        </w:rPr>
        <w:tab/>
        <w:t xml:space="preserve"> </w:t>
      </w:r>
      <w:r>
        <w:rPr>
          <w:rFonts w:asciiTheme="majorHAnsi" w:hAnsiTheme="majorHAnsi"/>
          <w:lang w:val="sr-Cyrl-CS"/>
        </w:rPr>
        <w:t>__</w:t>
      </w:r>
      <w:r w:rsidRPr="000C0B7D">
        <w:rPr>
          <w:rFonts w:asciiTheme="majorHAnsi" w:hAnsiTheme="majorHAnsi"/>
          <w:lang w:val="sr-Cyrl-CS"/>
        </w:rPr>
        <w:t>___-_</w:t>
      </w:r>
      <w:r>
        <w:rPr>
          <w:rFonts w:asciiTheme="majorHAnsi" w:hAnsiTheme="majorHAnsi"/>
          <w:lang w:val="sr-Cyrl-CS"/>
        </w:rPr>
        <w:t>_</w:t>
      </w:r>
      <w:r w:rsidRPr="000C0B7D">
        <w:rPr>
          <w:rFonts w:asciiTheme="majorHAnsi" w:hAnsiTheme="majorHAnsi"/>
          <w:lang w:val="sr-Cyrl-CS"/>
        </w:rPr>
        <w:t>____-_</w:t>
      </w:r>
      <w:r>
        <w:rPr>
          <w:rFonts w:asciiTheme="majorHAnsi" w:hAnsiTheme="majorHAnsi"/>
          <w:lang w:val="sr-Cyrl-CS"/>
        </w:rPr>
        <w:t>_</w:t>
      </w:r>
      <w:r w:rsidRPr="000C0B7D">
        <w:rPr>
          <w:rFonts w:asciiTheme="majorHAnsi" w:hAnsiTheme="majorHAnsi"/>
          <w:lang w:val="sr-Cyrl-CS"/>
        </w:rPr>
        <w:t>____/</w:t>
      </w:r>
      <w:r>
        <w:rPr>
          <w:rFonts w:asciiTheme="majorHAnsi" w:hAnsiTheme="majorHAnsi"/>
          <w:lang w:val="sr-Cyrl-CS"/>
        </w:rPr>
        <w:t>2</w:t>
      </w:r>
      <w:r w:rsidR="00733C90">
        <w:rPr>
          <w:rFonts w:asciiTheme="majorHAnsi" w:hAnsiTheme="majorHAnsi"/>
          <w:lang w:val="hr-HR"/>
        </w:rPr>
        <w:t>4</w:t>
      </w:r>
      <w:r w:rsidRPr="000C0B7D">
        <w:rPr>
          <w:rFonts w:asciiTheme="majorHAnsi" w:hAnsiTheme="majorHAnsi"/>
          <w:lang w:val="sr-Cyrl-CS"/>
        </w:rPr>
        <w:tab/>
      </w:r>
      <w:r w:rsidRPr="000C0B7D">
        <w:rPr>
          <w:rFonts w:asciiTheme="majorHAnsi" w:hAnsiTheme="majorHAnsi"/>
          <w:lang w:val="sr-Cyrl-CS"/>
        </w:rPr>
        <w:tab/>
      </w:r>
      <w:r w:rsidRPr="000C0B7D">
        <w:rPr>
          <w:rFonts w:asciiTheme="majorHAnsi" w:hAnsiTheme="majorHAnsi"/>
          <w:lang w:val="sr-Cyrl-CS"/>
        </w:rPr>
        <w:tab/>
      </w:r>
      <w:r w:rsidRPr="000C0B7D">
        <w:rPr>
          <w:rFonts w:asciiTheme="majorHAnsi" w:hAnsiTheme="majorHAnsi"/>
          <w:lang w:val="sr-Cyrl-CS"/>
        </w:rPr>
        <w:tab/>
      </w:r>
      <w:r w:rsidRPr="000C0B7D">
        <w:rPr>
          <w:rFonts w:asciiTheme="majorHAnsi" w:hAnsiTheme="majorHAnsi"/>
          <w:lang w:val="sr-Cyrl-CS"/>
        </w:rPr>
        <w:tab/>
        <w:t xml:space="preserve">    </w:t>
      </w:r>
      <w:r>
        <w:rPr>
          <w:rFonts w:asciiTheme="majorHAnsi" w:hAnsiTheme="majorHAnsi"/>
          <w:lang w:val="sr-Cyrl-CS"/>
        </w:rPr>
        <w:t xml:space="preserve">                </w:t>
      </w:r>
      <w:r w:rsidRPr="000C0B7D">
        <w:rPr>
          <w:rFonts w:asciiTheme="majorHAnsi" w:hAnsiTheme="majorHAnsi"/>
          <w:lang w:val="sr-Cyrl-CS"/>
        </w:rPr>
        <w:t xml:space="preserve"> Предсједник </w:t>
      </w:r>
    </w:p>
    <w:p w14:paraId="007F37CD" w14:textId="77777777" w:rsidR="0056380B" w:rsidRPr="000C0B7D" w:rsidRDefault="0056380B" w:rsidP="0056380B">
      <w:pPr>
        <w:rPr>
          <w:rFonts w:asciiTheme="majorHAnsi" w:hAnsiTheme="majorHAnsi"/>
          <w:lang w:val="sr-Cyrl-CS"/>
        </w:rPr>
      </w:pPr>
      <w:r w:rsidRPr="000C0B7D">
        <w:rPr>
          <w:rFonts w:asciiTheme="majorHAnsi" w:hAnsiTheme="majorHAnsi"/>
          <w:lang w:val="sr-Cyrl-CS"/>
        </w:rPr>
        <w:t>Датум: ___.___. 20</w:t>
      </w:r>
      <w:r>
        <w:rPr>
          <w:rFonts w:asciiTheme="majorHAnsi" w:hAnsiTheme="majorHAnsi"/>
          <w:lang w:val="sr-Cyrl-CS"/>
        </w:rPr>
        <w:t>2</w:t>
      </w:r>
      <w:r w:rsidR="00733C90">
        <w:rPr>
          <w:rFonts w:asciiTheme="majorHAnsi" w:hAnsiTheme="majorHAnsi"/>
          <w:lang w:val="hr-HR"/>
        </w:rPr>
        <w:t>4</w:t>
      </w:r>
      <w:r w:rsidRPr="000C0B7D">
        <w:rPr>
          <w:rFonts w:asciiTheme="majorHAnsi" w:hAnsiTheme="majorHAnsi"/>
          <w:lang w:val="sr-Cyrl-CS"/>
        </w:rPr>
        <w:t>. године</w:t>
      </w:r>
      <w:r w:rsidRPr="000C0B7D">
        <w:rPr>
          <w:rFonts w:asciiTheme="majorHAnsi" w:hAnsiTheme="majorHAnsi"/>
          <w:lang w:val="sr-Cyrl-CS"/>
        </w:rPr>
        <w:tab/>
      </w:r>
      <w:r w:rsidRPr="000C0B7D">
        <w:rPr>
          <w:rFonts w:asciiTheme="majorHAnsi" w:hAnsiTheme="majorHAnsi"/>
          <w:lang w:val="sr-Cyrl-CS"/>
        </w:rPr>
        <w:tab/>
      </w:r>
      <w:r w:rsidRPr="000C0B7D">
        <w:rPr>
          <w:rFonts w:asciiTheme="majorHAnsi" w:hAnsiTheme="majorHAnsi"/>
          <w:lang w:val="sr-Cyrl-CS"/>
        </w:rPr>
        <w:tab/>
      </w:r>
      <w:r w:rsidRPr="000C0B7D">
        <w:rPr>
          <w:rFonts w:asciiTheme="majorHAnsi" w:hAnsiTheme="majorHAnsi"/>
          <w:lang w:val="sr-Cyrl-CS"/>
        </w:rPr>
        <w:tab/>
        <w:t xml:space="preserve"> </w:t>
      </w:r>
      <w:r w:rsidRPr="000C0B7D">
        <w:rPr>
          <w:rFonts w:asciiTheme="majorHAnsi" w:hAnsiTheme="majorHAnsi"/>
          <w:lang w:val="sr-Cyrl-CS"/>
        </w:rPr>
        <w:tab/>
        <w:t xml:space="preserve">Скупштине општине </w:t>
      </w:r>
    </w:p>
    <w:p w14:paraId="2B8C527F" w14:textId="77777777" w:rsidR="0056380B" w:rsidRPr="000C0B7D" w:rsidRDefault="0056380B" w:rsidP="0056380B">
      <w:pPr>
        <w:rPr>
          <w:rFonts w:asciiTheme="majorHAnsi" w:hAnsiTheme="majorHAnsi"/>
          <w:lang w:val="sr-Cyrl-CS"/>
        </w:rPr>
      </w:pPr>
      <w:r w:rsidRPr="000C0B7D">
        <w:rPr>
          <w:rFonts w:asciiTheme="majorHAnsi" w:hAnsiTheme="majorHAnsi"/>
          <w:lang w:val="sr-Cyrl-CS"/>
        </w:rPr>
        <w:t xml:space="preserve">  </w:t>
      </w:r>
    </w:p>
    <w:p w14:paraId="41458D42" w14:textId="4D1C7025" w:rsidR="0056380B" w:rsidRDefault="00894B62" w:rsidP="00733C90">
      <w:pPr>
        <w:ind w:left="6372" w:firstLine="108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hr-HR"/>
        </w:rPr>
        <w:t xml:space="preserve">  </w:t>
      </w:r>
      <w:r w:rsidR="00733C90">
        <w:rPr>
          <w:rFonts w:asciiTheme="majorHAnsi" w:hAnsiTheme="majorHAnsi"/>
          <w:lang w:val="sr-Cyrl-CS"/>
        </w:rPr>
        <w:t>Милош Станишић</w:t>
      </w:r>
    </w:p>
    <w:p w14:paraId="2448E805" w14:textId="77777777" w:rsidR="00B843AF" w:rsidRDefault="00B843AF">
      <w:pPr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br w:type="page"/>
      </w:r>
    </w:p>
    <w:p w14:paraId="1BF9CB1B" w14:textId="77777777" w:rsidR="003663F9" w:rsidRPr="002B22B5" w:rsidRDefault="003663F9" w:rsidP="001A25F2">
      <w:pPr>
        <w:pStyle w:val="Heading5"/>
        <w:rPr>
          <w:szCs w:val="24"/>
          <w:lang w:val="sr-Cyrl-BA"/>
        </w:rPr>
      </w:pPr>
      <w:r w:rsidRPr="002B22B5">
        <w:rPr>
          <w:szCs w:val="24"/>
        </w:rPr>
        <w:lastRenderedPageBreak/>
        <w:t>О Б Р А З Л О Ж Е Њ Е</w:t>
      </w:r>
    </w:p>
    <w:p w14:paraId="58F182A1" w14:textId="77777777" w:rsidR="003663F9" w:rsidRPr="002B22B5" w:rsidRDefault="003663F9" w:rsidP="00884BFB">
      <w:pPr>
        <w:ind w:firstLine="708"/>
        <w:jc w:val="both"/>
        <w:rPr>
          <w:lang w:val="sr-Cyrl-CS" w:eastAsia="hr-HR"/>
        </w:rPr>
      </w:pPr>
    </w:p>
    <w:p w14:paraId="442D40B1" w14:textId="77777777" w:rsidR="003663F9" w:rsidRPr="002B22B5" w:rsidRDefault="003663F9" w:rsidP="00F47D54">
      <w:pPr>
        <w:spacing w:line="276" w:lineRule="auto"/>
        <w:jc w:val="both"/>
        <w:rPr>
          <w:b/>
          <w:lang w:val="hr-HR"/>
        </w:rPr>
      </w:pPr>
      <w:r w:rsidRPr="002B22B5">
        <w:rPr>
          <w:b/>
          <w:lang w:val="sr-Cyrl-CS"/>
        </w:rPr>
        <w:t>ПРАВНИ ОСНОВ</w:t>
      </w:r>
      <w:r w:rsidR="00113702" w:rsidRPr="002B22B5">
        <w:rPr>
          <w:b/>
          <w:lang w:val="hr-HR"/>
        </w:rPr>
        <w:t>:</w:t>
      </w:r>
    </w:p>
    <w:p w14:paraId="171796DA" w14:textId="77777777" w:rsidR="00F96254" w:rsidRPr="002B22B5" w:rsidRDefault="00F96254" w:rsidP="00F47D54">
      <w:pPr>
        <w:spacing w:line="276" w:lineRule="auto"/>
        <w:jc w:val="both"/>
        <w:rPr>
          <w:lang w:val="sr-Cyrl-CS"/>
        </w:rPr>
      </w:pPr>
    </w:p>
    <w:p w14:paraId="7F02E6C8" w14:textId="77777777" w:rsidR="00C0279C" w:rsidRPr="002B22B5" w:rsidRDefault="003663F9" w:rsidP="00F47D54">
      <w:pPr>
        <w:spacing w:line="276" w:lineRule="auto"/>
        <w:jc w:val="both"/>
        <w:rPr>
          <w:lang w:val="sr-Cyrl-CS"/>
        </w:rPr>
      </w:pPr>
      <w:r w:rsidRPr="002B22B5">
        <w:rPr>
          <w:lang w:val="sr-Cyrl-CS"/>
        </w:rPr>
        <w:t>Правни основ за д</w:t>
      </w:r>
      <w:r w:rsidR="00C0279C" w:rsidRPr="002B22B5">
        <w:rPr>
          <w:lang w:val="sr-Cyrl-CS"/>
        </w:rPr>
        <w:t xml:space="preserve">оношење ове Одлуке је: </w:t>
      </w:r>
    </w:p>
    <w:p w14:paraId="2D5C92B3" w14:textId="77777777" w:rsidR="00C0279C" w:rsidRPr="002B22B5" w:rsidRDefault="00F47D54" w:rsidP="00F47D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</w:pPr>
      <w:r>
        <w:rPr>
          <w:lang w:val="sr-Cyrl-CS"/>
        </w:rPr>
        <w:t>Ч</w:t>
      </w:r>
      <w:r w:rsidR="003663F9" w:rsidRPr="00F47D54">
        <w:rPr>
          <w:lang w:val="sr-Cyrl-CS"/>
        </w:rPr>
        <w:t xml:space="preserve">лан </w:t>
      </w:r>
      <w:r w:rsidR="00FE0D3D" w:rsidRPr="00F47D54">
        <w:rPr>
          <w:lang w:val="sr-Cyrl-CS"/>
        </w:rPr>
        <w:t>4</w:t>
      </w:r>
      <w:r w:rsidR="003663F9" w:rsidRPr="00F47D54">
        <w:rPr>
          <w:lang w:val="sr-Cyrl-CS"/>
        </w:rPr>
        <w:t xml:space="preserve">. </w:t>
      </w:r>
      <w:r w:rsidR="00E20891" w:rsidRPr="00F47D54">
        <w:rPr>
          <w:lang w:val="sr-Cyrl-CS"/>
        </w:rPr>
        <w:t>с</w:t>
      </w:r>
      <w:r w:rsidR="003663F9" w:rsidRPr="00F47D54">
        <w:rPr>
          <w:lang w:val="sr-Cyrl-CS"/>
        </w:rPr>
        <w:t>тав</w:t>
      </w:r>
      <w:r w:rsidR="00E20891" w:rsidRPr="00F47D54">
        <w:rPr>
          <w:lang w:val="sr-Cyrl-CS"/>
        </w:rPr>
        <w:t xml:space="preserve"> </w:t>
      </w:r>
      <w:r w:rsidR="00FE0D3D" w:rsidRPr="00F47D54">
        <w:rPr>
          <w:lang w:val="sr-Cyrl-CS"/>
        </w:rPr>
        <w:t>3</w:t>
      </w:r>
      <w:r w:rsidR="00E86E68" w:rsidRPr="00F47D54">
        <w:rPr>
          <w:lang w:val="sr-Cyrl-CS"/>
        </w:rPr>
        <w:t>.</w:t>
      </w:r>
      <w:r w:rsidR="00520E25" w:rsidRPr="00F47D54">
        <w:rPr>
          <w:lang w:val="sr-Cyrl-BA"/>
        </w:rPr>
        <w:t xml:space="preserve"> </w:t>
      </w:r>
      <w:r w:rsidR="003663F9" w:rsidRPr="00F47D54">
        <w:rPr>
          <w:lang w:val="sr-Cyrl-CS"/>
        </w:rPr>
        <w:t xml:space="preserve">Закона о порезу на непокретности („Службени гласник Републике Српске“, број </w:t>
      </w:r>
      <w:r w:rsidR="00E20891" w:rsidRPr="00F47D54">
        <w:rPr>
          <w:lang w:val="sr-Cyrl-CS"/>
        </w:rPr>
        <w:t>91/15</w:t>
      </w:r>
      <w:r w:rsidR="00C0279C" w:rsidRPr="00F47D54">
        <w:rPr>
          <w:lang w:val="sr-Cyrl-CS"/>
        </w:rPr>
        <w:t>) пропис</w:t>
      </w:r>
      <w:r w:rsidR="00A74D9C" w:rsidRPr="00F47D54">
        <w:rPr>
          <w:lang w:val="sr-Cyrl-CS"/>
        </w:rPr>
        <w:t xml:space="preserve">ује </w:t>
      </w:r>
      <w:r w:rsidR="00C0279C" w:rsidRPr="00F47D54">
        <w:rPr>
          <w:lang w:val="sr-Cyrl-CS"/>
        </w:rPr>
        <w:t xml:space="preserve">да </w:t>
      </w:r>
      <w:r w:rsidR="00C0279C" w:rsidRPr="00F47D54">
        <w:rPr>
          <w:lang w:val="sr-Cyrl-BA"/>
        </w:rPr>
        <w:t xml:space="preserve">су </w:t>
      </w:r>
      <w:proofErr w:type="spellStart"/>
      <w:r w:rsidR="00C0279C" w:rsidRPr="002B22B5">
        <w:t>Скупштине</w:t>
      </w:r>
      <w:proofErr w:type="spellEnd"/>
      <w:r w:rsidR="00C0279C" w:rsidRPr="002B22B5">
        <w:t xml:space="preserve"> </w:t>
      </w:r>
      <w:proofErr w:type="spellStart"/>
      <w:r w:rsidR="00C0279C" w:rsidRPr="002B22B5">
        <w:t>општина</w:t>
      </w:r>
      <w:proofErr w:type="spellEnd"/>
      <w:r w:rsidR="00C0279C" w:rsidRPr="002B22B5">
        <w:t xml:space="preserve"> и </w:t>
      </w:r>
      <w:proofErr w:type="spellStart"/>
      <w:r w:rsidR="00C0279C" w:rsidRPr="002B22B5">
        <w:t>градова</w:t>
      </w:r>
      <w:proofErr w:type="spellEnd"/>
      <w:r w:rsidR="00C0279C" w:rsidRPr="002B22B5">
        <w:t xml:space="preserve"> </w:t>
      </w:r>
      <w:proofErr w:type="spellStart"/>
      <w:r w:rsidR="00C0279C" w:rsidRPr="002B22B5">
        <w:t>дужне</w:t>
      </w:r>
      <w:proofErr w:type="spellEnd"/>
      <w:r w:rsidR="00C0279C" w:rsidRPr="002B22B5">
        <w:t xml:space="preserve"> </w:t>
      </w:r>
      <w:proofErr w:type="spellStart"/>
      <w:r w:rsidR="00C0279C" w:rsidRPr="002B22B5">
        <w:t>су</w:t>
      </w:r>
      <w:proofErr w:type="spellEnd"/>
      <w:r w:rsidR="00C0279C" w:rsidRPr="002B22B5">
        <w:t xml:space="preserve"> </w:t>
      </w:r>
      <w:proofErr w:type="spellStart"/>
      <w:r w:rsidR="00C0279C" w:rsidRPr="002B22B5">
        <w:t>да</w:t>
      </w:r>
      <w:proofErr w:type="spellEnd"/>
      <w:r w:rsidR="00C0279C" w:rsidRPr="002B22B5">
        <w:t xml:space="preserve">, </w:t>
      </w:r>
      <w:proofErr w:type="spellStart"/>
      <w:r w:rsidR="00C0279C" w:rsidRPr="002B22B5">
        <w:t>најкасније</w:t>
      </w:r>
      <w:proofErr w:type="spellEnd"/>
      <w:r w:rsidR="00C0279C" w:rsidRPr="002B22B5">
        <w:t xml:space="preserve"> </w:t>
      </w:r>
      <w:proofErr w:type="spellStart"/>
      <w:r w:rsidR="00C0279C" w:rsidRPr="002B22B5">
        <w:t>до</w:t>
      </w:r>
      <w:proofErr w:type="spellEnd"/>
      <w:r w:rsidR="00C0279C" w:rsidRPr="002B22B5">
        <w:t xml:space="preserve"> 31. </w:t>
      </w:r>
      <w:proofErr w:type="spellStart"/>
      <w:r w:rsidR="00C0279C" w:rsidRPr="002B22B5">
        <w:t>јануара</w:t>
      </w:r>
      <w:proofErr w:type="spellEnd"/>
      <w:r w:rsidR="00C0279C" w:rsidRPr="002B22B5">
        <w:t xml:space="preserve"> </w:t>
      </w:r>
      <w:proofErr w:type="spellStart"/>
      <w:r w:rsidR="00C0279C" w:rsidRPr="002B22B5">
        <w:t>текуће</w:t>
      </w:r>
      <w:proofErr w:type="spellEnd"/>
      <w:r w:rsidR="00C0279C" w:rsidRPr="002B22B5">
        <w:t xml:space="preserve"> </w:t>
      </w:r>
      <w:proofErr w:type="spellStart"/>
      <w:r w:rsidR="00C0279C" w:rsidRPr="002B22B5">
        <w:t>године</w:t>
      </w:r>
      <w:proofErr w:type="spellEnd"/>
      <w:r w:rsidR="00C0279C" w:rsidRPr="002B22B5">
        <w:t xml:space="preserve">, </w:t>
      </w:r>
      <w:proofErr w:type="spellStart"/>
      <w:r w:rsidR="00C0279C" w:rsidRPr="002B22B5">
        <w:t>доставе</w:t>
      </w:r>
      <w:proofErr w:type="spellEnd"/>
      <w:r w:rsidR="00C0279C" w:rsidRPr="002B22B5">
        <w:t xml:space="preserve"> </w:t>
      </w:r>
      <w:proofErr w:type="spellStart"/>
      <w:r w:rsidR="00C0279C" w:rsidRPr="002B22B5">
        <w:t>Пореској</w:t>
      </w:r>
      <w:proofErr w:type="spellEnd"/>
      <w:r w:rsidR="00C0279C" w:rsidRPr="002B22B5">
        <w:t xml:space="preserve"> </w:t>
      </w:r>
      <w:proofErr w:type="spellStart"/>
      <w:r w:rsidR="00C0279C" w:rsidRPr="002B22B5">
        <w:t>управи</w:t>
      </w:r>
      <w:proofErr w:type="spellEnd"/>
      <w:r w:rsidR="00C0279C" w:rsidRPr="002B22B5">
        <w:t xml:space="preserve"> у </w:t>
      </w:r>
      <w:proofErr w:type="spellStart"/>
      <w:r w:rsidR="00C0279C" w:rsidRPr="002B22B5">
        <w:t>писаној</w:t>
      </w:r>
      <w:proofErr w:type="spellEnd"/>
      <w:r w:rsidR="00C0279C" w:rsidRPr="002B22B5">
        <w:t xml:space="preserve"> </w:t>
      </w:r>
      <w:proofErr w:type="spellStart"/>
      <w:r w:rsidR="00C0279C" w:rsidRPr="002B22B5">
        <w:t>форми</w:t>
      </w:r>
      <w:proofErr w:type="spellEnd"/>
      <w:r w:rsidR="00C0279C" w:rsidRPr="002B22B5">
        <w:t xml:space="preserve"> </w:t>
      </w:r>
      <w:proofErr w:type="spellStart"/>
      <w:r w:rsidR="00C0279C" w:rsidRPr="002B22B5">
        <w:t>одлуку</w:t>
      </w:r>
      <w:proofErr w:type="spellEnd"/>
      <w:r w:rsidR="00C0279C" w:rsidRPr="002B22B5">
        <w:t xml:space="preserve"> о </w:t>
      </w:r>
      <w:proofErr w:type="spellStart"/>
      <w:r w:rsidR="00C0279C" w:rsidRPr="002B22B5">
        <w:t>висини</w:t>
      </w:r>
      <w:proofErr w:type="spellEnd"/>
      <w:r w:rsidR="00C0279C" w:rsidRPr="002B22B5">
        <w:t xml:space="preserve"> </w:t>
      </w:r>
      <w:proofErr w:type="spellStart"/>
      <w:r w:rsidR="00C0279C" w:rsidRPr="002B22B5">
        <w:t>вриједности</w:t>
      </w:r>
      <w:proofErr w:type="spellEnd"/>
      <w:r w:rsidR="00C0279C" w:rsidRPr="002B22B5">
        <w:t xml:space="preserve"> </w:t>
      </w:r>
      <w:proofErr w:type="spellStart"/>
      <w:r w:rsidR="00C0279C" w:rsidRPr="002B22B5">
        <w:t>непокретности</w:t>
      </w:r>
      <w:proofErr w:type="spellEnd"/>
      <w:r w:rsidR="00C0279C" w:rsidRPr="002B22B5">
        <w:t xml:space="preserve"> </w:t>
      </w:r>
      <w:proofErr w:type="spellStart"/>
      <w:r w:rsidR="00C0279C" w:rsidRPr="002B22B5">
        <w:t>по</w:t>
      </w:r>
      <w:proofErr w:type="spellEnd"/>
      <w:r w:rsidR="00C0279C" w:rsidRPr="002B22B5">
        <w:t xml:space="preserve"> </w:t>
      </w:r>
      <w:proofErr w:type="spellStart"/>
      <w:r w:rsidR="00C0279C" w:rsidRPr="002B22B5">
        <w:t>зонама</w:t>
      </w:r>
      <w:proofErr w:type="spellEnd"/>
      <w:r w:rsidR="00C0279C" w:rsidRPr="002B22B5">
        <w:t xml:space="preserve"> </w:t>
      </w:r>
      <w:proofErr w:type="spellStart"/>
      <w:r w:rsidR="00C0279C" w:rsidRPr="002B22B5">
        <w:t>на</w:t>
      </w:r>
      <w:proofErr w:type="spellEnd"/>
      <w:r w:rsidR="00C0279C" w:rsidRPr="002B22B5">
        <w:t xml:space="preserve"> </w:t>
      </w:r>
      <w:proofErr w:type="spellStart"/>
      <w:r w:rsidR="00C0279C" w:rsidRPr="002B22B5">
        <w:t>својој</w:t>
      </w:r>
      <w:proofErr w:type="spellEnd"/>
      <w:r w:rsidR="00C0279C" w:rsidRPr="002B22B5">
        <w:t xml:space="preserve"> </w:t>
      </w:r>
      <w:proofErr w:type="spellStart"/>
      <w:r w:rsidR="00C0279C" w:rsidRPr="002B22B5">
        <w:t>територији</w:t>
      </w:r>
      <w:proofErr w:type="spellEnd"/>
      <w:r w:rsidR="00C0279C" w:rsidRPr="002B22B5">
        <w:t xml:space="preserve"> </w:t>
      </w:r>
      <w:proofErr w:type="spellStart"/>
      <w:r w:rsidR="00C0279C" w:rsidRPr="002B22B5">
        <w:t>за</w:t>
      </w:r>
      <w:proofErr w:type="spellEnd"/>
      <w:r w:rsidR="00C0279C" w:rsidRPr="002B22B5">
        <w:t xml:space="preserve"> </w:t>
      </w:r>
      <w:proofErr w:type="spellStart"/>
      <w:r w:rsidR="00C0279C" w:rsidRPr="002B22B5">
        <w:t>сљедеће</w:t>
      </w:r>
      <w:proofErr w:type="spellEnd"/>
      <w:r w:rsidR="00C0279C" w:rsidRPr="002B22B5">
        <w:t xml:space="preserve"> </w:t>
      </w:r>
      <w:proofErr w:type="spellStart"/>
      <w:r w:rsidR="00C0279C" w:rsidRPr="002B22B5">
        <w:t>непокретности</w:t>
      </w:r>
      <w:proofErr w:type="spellEnd"/>
      <w:r w:rsidR="00C0279C" w:rsidRPr="002B22B5">
        <w:t>:</w:t>
      </w:r>
    </w:p>
    <w:p w14:paraId="5374A33C" w14:textId="77777777" w:rsidR="00C0279C" w:rsidRPr="002B22B5" w:rsidRDefault="00C0279C" w:rsidP="00F47D54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</w:pPr>
      <w:proofErr w:type="spellStart"/>
      <w:r w:rsidRPr="002B22B5">
        <w:t>земљиште</w:t>
      </w:r>
      <w:proofErr w:type="spellEnd"/>
      <w:r w:rsidRPr="002B22B5">
        <w:t xml:space="preserve"> (</w:t>
      </w:r>
      <w:proofErr w:type="spellStart"/>
      <w:r w:rsidRPr="002B22B5">
        <w:t>грађевинско</w:t>
      </w:r>
      <w:proofErr w:type="spellEnd"/>
      <w:r w:rsidRPr="002B22B5">
        <w:t xml:space="preserve">, </w:t>
      </w:r>
      <w:proofErr w:type="spellStart"/>
      <w:r w:rsidRPr="002B22B5">
        <w:t>пољопривредно</w:t>
      </w:r>
      <w:proofErr w:type="spellEnd"/>
      <w:r w:rsidRPr="002B22B5">
        <w:t xml:space="preserve">, </w:t>
      </w:r>
      <w:proofErr w:type="spellStart"/>
      <w:r w:rsidRPr="002B22B5">
        <w:t>шумско</w:t>
      </w:r>
      <w:proofErr w:type="spellEnd"/>
      <w:r w:rsidRPr="002B22B5">
        <w:t>,</w:t>
      </w:r>
      <w:r w:rsidRPr="00F47D54">
        <w:rPr>
          <w:lang w:val="sr-Cyrl-BA"/>
        </w:rPr>
        <w:t xml:space="preserve"> </w:t>
      </w:r>
      <w:proofErr w:type="spellStart"/>
      <w:r w:rsidRPr="002B22B5">
        <w:t>индустријско</w:t>
      </w:r>
      <w:proofErr w:type="spellEnd"/>
      <w:r w:rsidRPr="002B22B5">
        <w:t xml:space="preserve"> и </w:t>
      </w:r>
      <w:proofErr w:type="spellStart"/>
      <w:r w:rsidRPr="002B22B5">
        <w:t>остало</w:t>
      </w:r>
      <w:proofErr w:type="spellEnd"/>
      <w:r w:rsidRPr="002B22B5">
        <w:t>) и</w:t>
      </w:r>
    </w:p>
    <w:p w14:paraId="3CA71634" w14:textId="77777777" w:rsidR="00C0279C" w:rsidRPr="002B22B5" w:rsidRDefault="00C0279C" w:rsidP="00F47D54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</w:pPr>
      <w:proofErr w:type="spellStart"/>
      <w:r w:rsidRPr="002B22B5">
        <w:t>грађевинске</w:t>
      </w:r>
      <w:proofErr w:type="spellEnd"/>
      <w:r w:rsidRPr="002B22B5">
        <w:t xml:space="preserve"> </w:t>
      </w:r>
      <w:proofErr w:type="spellStart"/>
      <w:r w:rsidRPr="002B22B5">
        <w:t>објекте</w:t>
      </w:r>
      <w:proofErr w:type="spellEnd"/>
      <w:r w:rsidRPr="002B22B5">
        <w:t xml:space="preserve"> (</w:t>
      </w:r>
      <w:proofErr w:type="spellStart"/>
      <w:r w:rsidRPr="002B22B5">
        <w:t>стан</w:t>
      </w:r>
      <w:proofErr w:type="spellEnd"/>
      <w:r w:rsidRPr="002B22B5">
        <w:t xml:space="preserve">, </w:t>
      </w:r>
      <w:proofErr w:type="spellStart"/>
      <w:r w:rsidRPr="002B22B5">
        <w:t>кућа</w:t>
      </w:r>
      <w:proofErr w:type="spellEnd"/>
      <w:r w:rsidRPr="002B22B5">
        <w:t xml:space="preserve">, </w:t>
      </w:r>
      <w:proofErr w:type="spellStart"/>
      <w:r w:rsidRPr="002B22B5">
        <w:t>пословни</w:t>
      </w:r>
      <w:proofErr w:type="spellEnd"/>
      <w:r w:rsidRPr="002B22B5">
        <w:t xml:space="preserve">, </w:t>
      </w:r>
      <w:proofErr w:type="spellStart"/>
      <w:r w:rsidRPr="002B22B5">
        <w:t>индустријски</w:t>
      </w:r>
      <w:proofErr w:type="spellEnd"/>
      <w:r w:rsidRPr="002B22B5">
        <w:t xml:space="preserve"> и </w:t>
      </w:r>
      <w:proofErr w:type="spellStart"/>
      <w:r w:rsidRPr="002B22B5">
        <w:t>остали</w:t>
      </w:r>
      <w:proofErr w:type="spellEnd"/>
      <w:r w:rsidRPr="002B22B5">
        <w:t xml:space="preserve"> </w:t>
      </w:r>
      <w:proofErr w:type="spellStart"/>
      <w:r w:rsidRPr="002B22B5">
        <w:t>објекти</w:t>
      </w:r>
      <w:proofErr w:type="spellEnd"/>
      <w:r w:rsidRPr="002B22B5">
        <w:t>).</w:t>
      </w:r>
    </w:p>
    <w:p w14:paraId="710BA7D2" w14:textId="77777777" w:rsidR="00D60672" w:rsidRPr="00F47D54" w:rsidRDefault="00F47D54" w:rsidP="00F47D54">
      <w:pPr>
        <w:pStyle w:val="ListParagraph"/>
        <w:numPr>
          <w:ilvl w:val="0"/>
          <w:numId w:val="7"/>
        </w:numPr>
        <w:spacing w:line="276" w:lineRule="auto"/>
        <w:ind w:left="284" w:hanging="284"/>
        <w:jc w:val="both"/>
        <w:rPr>
          <w:lang w:val="sr-Cyrl-BA"/>
        </w:rPr>
      </w:pPr>
      <w:r>
        <w:rPr>
          <w:lang w:val="sr-Cyrl-CS"/>
        </w:rPr>
        <w:t>Ч</w:t>
      </w:r>
      <w:r w:rsidR="00E86E68" w:rsidRPr="00F47D54">
        <w:rPr>
          <w:lang w:val="sr-Cyrl-CS"/>
        </w:rPr>
        <w:t>лан 3</w:t>
      </w:r>
      <w:r w:rsidR="00E86E68" w:rsidRPr="00F47D54">
        <w:rPr>
          <w:lang w:val="sr-Cyrl-BA"/>
        </w:rPr>
        <w:t>9</w:t>
      </w:r>
      <w:r w:rsidR="003663F9" w:rsidRPr="00F47D54">
        <w:rPr>
          <w:lang w:val="sr-Cyrl-CS"/>
        </w:rPr>
        <w:t xml:space="preserve">. </w:t>
      </w:r>
      <w:r w:rsidR="00E86E68" w:rsidRPr="00F47D54">
        <w:rPr>
          <w:lang w:val="sr-Cyrl-BA"/>
        </w:rPr>
        <w:t xml:space="preserve">став 2. тачка 2. </w:t>
      </w:r>
      <w:r w:rsidR="003663F9" w:rsidRPr="00F47D54">
        <w:rPr>
          <w:lang w:val="sr-Cyrl-CS"/>
        </w:rPr>
        <w:t>Закона о локалној самоуправи („Службени гласник Републике</w:t>
      </w:r>
      <w:r w:rsidR="00E86E68" w:rsidRPr="00F47D54">
        <w:rPr>
          <w:lang w:val="sr-Cyrl-CS"/>
        </w:rPr>
        <w:t xml:space="preserve"> Српске“, број</w:t>
      </w:r>
      <w:r w:rsidR="00E86E68" w:rsidRPr="00F47D54">
        <w:rPr>
          <w:lang w:val="sr-Cyrl-BA"/>
        </w:rPr>
        <w:t xml:space="preserve">: </w:t>
      </w:r>
      <w:r w:rsidRPr="002B22B5">
        <w:t>97/1</w:t>
      </w:r>
      <w:r w:rsidRPr="002B22B5">
        <w:rPr>
          <w:lang w:val="sr-Cyrl-BA"/>
        </w:rPr>
        <w:t>6</w:t>
      </w:r>
      <w:r>
        <w:rPr>
          <w:lang w:val="hr-HR"/>
        </w:rPr>
        <w:t>,</w:t>
      </w:r>
      <w:r w:rsidRPr="002B22B5">
        <w:rPr>
          <w:lang w:val="sr-Cyrl-BA"/>
        </w:rPr>
        <w:t xml:space="preserve"> 36/19</w:t>
      </w:r>
      <w:r>
        <w:rPr>
          <w:lang w:val="hr-HR"/>
        </w:rPr>
        <w:t xml:space="preserve"> </w:t>
      </w:r>
      <w:r>
        <w:rPr>
          <w:lang w:val="sr-Cyrl-BA"/>
        </w:rPr>
        <w:t>и 61/21</w:t>
      </w:r>
      <w:r w:rsidR="00C0279C" w:rsidRPr="00F47D54">
        <w:rPr>
          <w:lang w:val="sr-Cyrl-CS"/>
        </w:rPr>
        <w:t xml:space="preserve">) </w:t>
      </w:r>
      <w:r w:rsidR="00D60672" w:rsidRPr="00F47D54">
        <w:rPr>
          <w:lang w:val="sr-Cyrl-BA"/>
        </w:rPr>
        <w:t>прописује да Скупштина опш</w:t>
      </w:r>
      <w:r>
        <w:rPr>
          <w:lang w:val="sr-Cyrl-BA"/>
        </w:rPr>
        <w:t>тине доноси одлуке и друга акта.</w:t>
      </w:r>
    </w:p>
    <w:p w14:paraId="673228CF" w14:textId="77777777" w:rsidR="00A74D9C" w:rsidRPr="00F47D54" w:rsidRDefault="00F47D54" w:rsidP="00F47D54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Calibri"/>
          <w:lang w:val="sr-Cyrl-BA"/>
        </w:rPr>
      </w:pPr>
      <w:r>
        <w:rPr>
          <w:lang w:val="sr-Cyrl-BA" w:eastAsia="hr-HR"/>
        </w:rPr>
        <w:t>Ч</w:t>
      </w:r>
      <w:r w:rsidR="00A74D9C" w:rsidRPr="00F47D54">
        <w:rPr>
          <w:lang w:val="hr-HR" w:eastAsia="hr-HR"/>
        </w:rPr>
        <w:t xml:space="preserve">лан </w:t>
      </w:r>
      <w:r w:rsidR="00A74D9C" w:rsidRPr="00F47D54">
        <w:rPr>
          <w:lang w:val="bs-Cyrl-BA" w:eastAsia="hr-HR"/>
        </w:rPr>
        <w:t>41</w:t>
      </w:r>
      <w:r w:rsidR="00A74D9C" w:rsidRPr="00F47D54">
        <w:rPr>
          <w:lang w:val="hr-HR" w:eastAsia="hr-HR"/>
        </w:rPr>
        <w:t xml:space="preserve">. </w:t>
      </w:r>
      <w:proofErr w:type="spellStart"/>
      <w:r w:rsidR="00A74D9C" w:rsidRPr="00F47D54">
        <w:rPr>
          <w:rFonts w:eastAsia="Calibri"/>
        </w:rPr>
        <w:t>став</w:t>
      </w:r>
      <w:proofErr w:type="spellEnd"/>
      <w:r w:rsidR="00A74D9C" w:rsidRPr="00F47D54">
        <w:rPr>
          <w:rFonts w:eastAsia="Calibri"/>
        </w:rPr>
        <w:t xml:space="preserve"> 1. </w:t>
      </w:r>
      <w:proofErr w:type="spellStart"/>
      <w:r w:rsidR="00A74D9C" w:rsidRPr="00F47D54">
        <w:rPr>
          <w:rFonts w:eastAsia="Calibri"/>
        </w:rPr>
        <w:t>тачка</w:t>
      </w:r>
      <w:proofErr w:type="spellEnd"/>
      <w:r w:rsidR="00A74D9C" w:rsidRPr="00F47D54">
        <w:rPr>
          <w:rFonts w:eastAsia="Calibri"/>
        </w:rPr>
        <w:t xml:space="preserve"> 2</w:t>
      </w:r>
      <w:r w:rsidR="00A74D9C" w:rsidRPr="00F47D54">
        <w:rPr>
          <w:lang w:val="sr-Cyrl-BA" w:eastAsia="hr-HR"/>
        </w:rPr>
        <w:t xml:space="preserve">. </w:t>
      </w:r>
      <w:r w:rsidR="00A74D9C" w:rsidRPr="00F47D54">
        <w:rPr>
          <w:rFonts w:eastAsia="Calibri"/>
        </w:rPr>
        <w:t xml:space="preserve">и </w:t>
      </w:r>
      <w:proofErr w:type="spellStart"/>
      <w:r w:rsidR="00A74D9C" w:rsidRPr="00F47D54">
        <w:rPr>
          <w:rFonts w:eastAsia="Calibri"/>
        </w:rPr>
        <w:t>члана</w:t>
      </w:r>
      <w:proofErr w:type="spellEnd"/>
      <w:r w:rsidR="00A74D9C" w:rsidRPr="00F47D54">
        <w:rPr>
          <w:rFonts w:eastAsia="Calibri"/>
        </w:rPr>
        <w:t xml:space="preserve"> 89. </w:t>
      </w:r>
      <w:r w:rsidR="00A74D9C" w:rsidRPr="00F47D54">
        <w:rPr>
          <w:lang w:val="hr-HR" w:eastAsia="hr-HR"/>
        </w:rPr>
        <w:t>Статута општине Брод ("Службени гласник општине Брод", број</w:t>
      </w:r>
      <w:r w:rsidR="00A74D9C" w:rsidRPr="00F47D54">
        <w:rPr>
          <w:lang w:val="sr-Cyrl-BA" w:eastAsia="hr-HR"/>
        </w:rPr>
        <w:t xml:space="preserve"> </w:t>
      </w:r>
      <w:r w:rsidR="00A74D9C" w:rsidRPr="00F47D54">
        <w:rPr>
          <w:lang w:val="bs-Cyrl-BA" w:eastAsia="hr-HR"/>
        </w:rPr>
        <w:t>7</w:t>
      </w:r>
      <w:r w:rsidR="00A74D9C" w:rsidRPr="00F47D54">
        <w:rPr>
          <w:lang w:val="hr-HR" w:eastAsia="hr-HR"/>
        </w:rPr>
        <w:t>/1</w:t>
      </w:r>
      <w:r w:rsidR="00A74D9C" w:rsidRPr="00F47D54">
        <w:rPr>
          <w:lang w:val="bs-Cyrl-BA" w:eastAsia="hr-HR"/>
        </w:rPr>
        <w:t>7</w:t>
      </w:r>
      <w:r w:rsidR="00A74D9C" w:rsidRPr="00F47D54">
        <w:rPr>
          <w:lang w:val="hr-HR" w:eastAsia="hr-HR"/>
        </w:rPr>
        <w:t>)</w:t>
      </w:r>
      <w:r w:rsidR="00A74D9C" w:rsidRPr="00F47D54">
        <w:rPr>
          <w:lang w:val="sr-Cyrl-BA" w:eastAsia="hr-HR"/>
        </w:rPr>
        <w:t xml:space="preserve"> </w:t>
      </w:r>
      <w:r w:rsidR="00A74D9C" w:rsidRPr="00F47D54">
        <w:rPr>
          <w:rFonts w:eastAsia="Calibri"/>
          <w:lang w:val="sr-Cyrl-BA"/>
        </w:rPr>
        <w:t xml:space="preserve">прописује да је дјелокруг </w:t>
      </w:r>
      <w:proofErr w:type="spellStart"/>
      <w:r w:rsidR="00A74D9C" w:rsidRPr="00F47D54">
        <w:rPr>
          <w:rFonts w:eastAsia="Calibri"/>
        </w:rPr>
        <w:t>скупштин</w:t>
      </w:r>
      <w:proofErr w:type="spellEnd"/>
      <w:r w:rsidR="00A74D9C" w:rsidRPr="00F47D54">
        <w:rPr>
          <w:rFonts w:eastAsia="Calibri"/>
          <w:lang w:val="sr-Cyrl-BA"/>
        </w:rPr>
        <w:t xml:space="preserve">е да </w:t>
      </w:r>
      <w:proofErr w:type="spellStart"/>
      <w:r w:rsidR="00A74D9C" w:rsidRPr="00F47D54">
        <w:rPr>
          <w:rFonts w:eastAsia="Calibri"/>
        </w:rPr>
        <w:t>доноси</w:t>
      </w:r>
      <w:proofErr w:type="spellEnd"/>
      <w:r w:rsidR="00A74D9C" w:rsidRPr="00F47D54">
        <w:rPr>
          <w:rFonts w:eastAsia="Calibri"/>
        </w:rPr>
        <w:t xml:space="preserve"> </w:t>
      </w:r>
      <w:proofErr w:type="spellStart"/>
      <w:r w:rsidR="00A74D9C" w:rsidRPr="00F47D54">
        <w:rPr>
          <w:rFonts w:eastAsia="Calibri"/>
        </w:rPr>
        <w:t>одлуке</w:t>
      </w:r>
      <w:proofErr w:type="spellEnd"/>
      <w:r w:rsidR="00A74D9C" w:rsidRPr="00F47D54">
        <w:rPr>
          <w:rFonts w:eastAsia="Calibri"/>
        </w:rPr>
        <w:t xml:space="preserve">, </w:t>
      </w:r>
      <w:proofErr w:type="spellStart"/>
      <w:r w:rsidR="00A74D9C" w:rsidRPr="00F47D54">
        <w:rPr>
          <w:rFonts w:eastAsia="Calibri"/>
        </w:rPr>
        <w:t>друга</w:t>
      </w:r>
      <w:proofErr w:type="spellEnd"/>
      <w:r w:rsidR="00A74D9C" w:rsidRPr="00F47D54">
        <w:rPr>
          <w:rFonts w:eastAsia="Calibri"/>
        </w:rPr>
        <w:t xml:space="preserve"> </w:t>
      </w:r>
      <w:proofErr w:type="spellStart"/>
      <w:r w:rsidR="00A74D9C" w:rsidRPr="00F47D54">
        <w:rPr>
          <w:rFonts w:eastAsia="Calibri"/>
        </w:rPr>
        <w:t>општа</w:t>
      </w:r>
      <w:proofErr w:type="spellEnd"/>
      <w:r w:rsidR="00A74D9C" w:rsidRPr="00F47D54">
        <w:rPr>
          <w:rFonts w:eastAsia="Calibri"/>
        </w:rPr>
        <w:t xml:space="preserve"> </w:t>
      </w:r>
      <w:proofErr w:type="spellStart"/>
      <w:r w:rsidR="00A74D9C" w:rsidRPr="00F47D54">
        <w:rPr>
          <w:rFonts w:eastAsia="Calibri"/>
        </w:rPr>
        <w:t>акта</w:t>
      </w:r>
      <w:proofErr w:type="spellEnd"/>
      <w:r w:rsidR="00A74D9C" w:rsidRPr="00F47D54">
        <w:rPr>
          <w:rFonts w:eastAsia="Calibri"/>
          <w:lang w:val="sr-Cyrl-BA"/>
        </w:rPr>
        <w:t xml:space="preserve">, </w:t>
      </w:r>
      <w:proofErr w:type="spellStart"/>
      <w:r w:rsidR="00A74D9C" w:rsidRPr="00F47D54">
        <w:rPr>
          <w:rFonts w:eastAsia="Calibri"/>
        </w:rPr>
        <w:t>статут</w:t>
      </w:r>
      <w:proofErr w:type="spellEnd"/>
      <w:r w:rsidR="00A74D9C" w:rsidRPr="00F47D54">
        <w:rPr>
          <w:rFonts w:eastAsia="Calibri"/>
        </w:rPr>
        <w:t xml:space="preserve">, </w:t>
      </w:r>
      <w:proofErr w:type="spellStart"/>
      <w:r w:rsidR="00A74D9C" w:rsidRPr="00F47D54">
        <w:rPr>
          <w:rFonts w:eastAsia="Calibri"/>
        </w:rPr>
        <w:t>пословник</w:t>
      </w:r>
      <w:proofErr w:type="spellEnd"/>
      <w:r w:rsidR="00A74D9C" w:rsidRPr="00F47D54">
        <w:rPr>
          <w:rFonts w:eastAsia="Calibri"/>
        </w:rPr>
        <w:t xml:space="preserve">, </w:t>
      </w:r>
      <w:proofErr w:type="spellStart"/>
      <w:r w:rsidR="00A74D9C" w:rsidRPr="00F47D54">
        <w:rPr>
          <w:rFonts w:eastAsia="Calibri"/>
        </w:rPr>
        <w:t>одлуке</w:t>
      </w:r>
      <w:proofErr w:type="spellEnd"/>
      <w:r w:rsidR="00A74D9C" w:rsidRPr="00F47D54">
        <w:rPr>
          <w:rFonts w:eastAsia="Calibri"/>
        </w:rPr>
        <w:t xml:space="preserve">, </w:t>
      </w:r>
      <w:proofErr w:type="spellStart"/>
      <w:r w:rsidR="00A74D9C" w:rsidRPr="00F47D54">
        <w:rPr>
          <w:rFonts w:eastAsia="Calibri"/>
        </w:rPr>
        <w:t>рјешења</w:t>
      </w:r>
      <w:proofErr w:type="spellEnd"/>
      <w:r w:rsidR="00A74D9C" w:rsidRPr="00F47D54">
        <w:rPr>
          <w:rFonts w:eastAsia="Calibri"/>
        </w:rPr>
        <w:t xml:space="preserve">, </w:t>
      </w:r>
      <w:proofErr w:type="spellStart"/>
      <w:r w:rsidR="00A74D9C" w:rsidRPr="00F47D54">
        <w:rPr>
          <w:rFonts w:eastAsia="Calibri"/>
        </w:rPr>
        <w:t>закључке</w:t>
      </w:r>
      <w:proofErr w:type="spellEnd"/>
      <w:r w:rsidR="00A74D9C" w:rsidRPr="00F47D54">
        <w:rPr>
          <w:rFonts w:eastAsia="Calibri"/>
        </w:rPr>
        <w:t xml:space="preserve">, </w:t>
      </w:r>
      <w:proofErr w:type="spellStart"/>
      <w:r w:rsidR="00A74D9C" w:rsidRPr="00F47D54">
        <w:rPr>
          <w:rFonts w:eastAsia="Calibri"/>
        </w:rPr>
        <w:t>препоруке</w:t>
      </w:r>
      <w:proofErr w:type="spellEnd"/>
      <w:r w:rsidR="00A74D9C" w:rsidRPr="00F47D54">
        <w:rPr>
          <w:rFonts w:eastAsia="Calibri"/>
        </w:rPr>
        <w:t xml:space="preserve">, </w:t>
      </w:r>
      <w:proofErr w:type="spellStart"/>
      <w:r w:rsidR="00A74D9C" w:rsidRPr="00F47D54">
        <w:rPr>
          <w:rFonts w:eastAsia="Calibri"/>
        </w:rPr>
        <w:t>резолуције</w:t>
      </w:r>
      <w:proofErr w:type="spellEnd"/>
      <w:r w:rsidR="00A74D9C" w:rsidRPr="00F47D54">
        <w:rPr>
          <w:rFonts w:eastAsia="Calibri"/>
        </w:rPr>
        <w:t xml:space="preserve">, </w:t>
      </w:r>
      <w:proofErr w:type="spellStart"/>
      <w:r w:rsidR="00A74D9C" w:rsidRPr="00F47D54">
        <w:rPr>
          <w:rFonts w:eastAsia="Calibri"/>
        </w:rPr>
        <w:t>стратегије</w:t>
      </w:r>
      <w:proofErr w:type="spellEnd"/>
      <w:r w:rsidR="00A74D9C" w:rsidRPr="00F47D54">
        <w:rPr>
          <w:rFonts w:eastAsia="Calibri"/>
        </w:rPr>
        <w:t xml:space="preserve">, </w:t>
      </w:r>
      <w:proofErr w:type="spellStart"/>
      <w:r w:rsidR="00A74D9C" w:rsidRPr="00F47D54">
        <w:rPr>
          <w:rFonts w:eastAsia="Calibri"/>
        </w:rPr>
        <w:t>планове</w:t>
      </w:r>
      <w:proofErr w:type="spellEnd"/>
      <w:r w:rsidR="00A74D9C" w:rsidRPr="00F47D54">
        <w:rPr>
          <w:rFonts w:eastAsia="Calibri"/>
        </w:rPr>
        <w:t xml:space="preserve"> и </w:t>
      </w:r>
      <w:proofErr w:type="spellStart"/>
      <w:r w:rsidR="00A74D9C" w:rsidRPr="00F47D54">
        <w:rPr>
          <w:rFonts w:eastAsia="Calibri"/>
        </w:rPr>
        <w:t>програме</w:t>
      </w:r>
      <w:proofErr w:type="spellEnd"/>
    </w:p>
    <w:p w14:paraId="0A54816B" w14:textId="77777777" w:rsidR="003663F9" w:rsidRPr="002B22B5" w:rsidRDefault="00F47D54" w:rsidP="00F47D54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color w:val="auto"/>
          <w:lang w:val="sr-Cyrl-BA"/>
        </w:rPr>
      </w:pPr>
      <w:r>
        <w:rPr>
          <w:lang w:val="sr-Cyrl-BA"/>
        </w:rPr>
        <w:t>Ч</w:t>
      </w:r>
      <w:r w:rsidR="003663F9" w:rsidRPr="002B22B5">
        <w:rPr>
          <w:lang w:val="sr-Cyrl-BA"/>
        </w:rPr>
        <w:t>лан 11</w:t>
      </w:r>
      <w:r w:rsidR="003B092A" w:rsidRPr="002B22B5">
        <w:rPr>
          <w:lang w:val="hr-HR"/>
        </w:rPr>
        <w:t>1</w:t>
      </w:r>
      <w:r w:rsidR="003663F9" w:rsidRPr="002B22B5">
        <w:rPr>
          <w:lang w:val="sr-Cyrl-BA"/>
        </w:rPr>
        <w:t>.</w:t>
      </w:r>
      <w:r w:rsidR="00884BFB" w:rsidRPr="002B22B5">
        <w:rPr>
          <w:lang w:val="sr-Cyrl-BA"/>
        </w:rPr>
        <w:t xml:space="preserve"> и 112.</w:t>
      </w:r>
      <w:r w:rsidR="003663F9" w:rsidRPr="002B22B5">
        <w:rPr>
          <w:lang w:val="sr-Cyrl-BA"/>
        </w:rPr>
        <w:t xml:space="preserve"> Пословника </w:t>
      </w:r>
      <w:r w:rsidR="001C7DB0" w:rsidRPr="002B22B5">
        <w:rPr>
          <w:lang w:val="sr-Cyrl-BA"/>
        </w:rPr>
        <w:t xml:space="preserve">о раду </w:t>
      </w:r>
      <w:r w:rsidR="003663F9" w:rsidRPr="002B22B5">
        <w:rPr>
          <w:lang w:val="sr-Cyrl-BA"/>
        </w:rPr>
        <w:t>Скупштине општине Брод</w:t>
      </w:r>
      <w:r w:rsidR="00F96254" w:rsidRPr="002B22B5">
        <w:rPr>
          <w:lang w:val="sr-Cyrl-BA"/>
        </w:rPr>
        <w:t xml:space="preserve"> – пречишћени текст</w:t>
      </w:r>
      <w:r w:rsidR="003663F9" w:rsidRPr="002B22B5">
        <w:rPr>
          <w:lang w:val="sr-Cyrl-BA"/>
        </w:rPr>
        <w:t xml:space="preserve"> (</w:t>
      </w:r>
      <w:r w:rsidR="00C87CCB" w:rsidRPr="002B22B5">
        <w:rPr>
          <w:lang w:val="sr-Cyrl-BA"/>
        </w:rPr>
        <w:t>„</w:t>
      </w:r>
      <w:r w:rsidR="003663F9" w:rsidRPr="002B22B5">
        <w:rPr>
          <w:lang w:val="sr-Cyrl-BA"/>
        </w:rPr>
        <w:t>Службени гласник општине Брод</w:t>
      </w:r>
      <w:r w:rsidR="00C87CCB" w:rsidRPr="002B22B5">
        <w:rPr>
          <w:lang w:val="sr-Cyrl-BA"/>
        </w:rPr>
        <w:t>“</w:t>
      </w:r>
      <w:r w:rsidR="003663F9" w:rsidRPr="002B22B5">
        <w:rPr>
          <w:lang w:val="sr-Cyrl-BA"/>
        </w:rPr>
        <w:t xml:space="preserve"> број </w:t>
      </w:r>
      <w:r w:rsidR="00F96254" w:rsidRPr="002B22B5">
        <w:rPr>
          <w:lang w:val="sr-Cyrl-BA"/>
        </w:rPr>
        <w:t>5/20</w:t>
      </w:r>
      <w:r w:rsidR="00D60672" w:rsidRPr="002B22B5">
        <w:rPr>
          <w:lang w:val="sr-Cyrl-BA"/>
        </w:rPr>
        <w:t xml:space="preserve">) </w:t>
      </w:r>
      <w:r w:rsidR="00D60672" w:rsidRPr="002B22B5">
        <w:rPr>
          <w:rFonts w:eastAsia="Times New Roman"/>
          <w:color w:val="auto"/>
          <w:lang w:val="sr-Cyrl-BA" w:eastAsia="hr-HR"/>
        </w:rPr>
        <w:t>про</w:t>
      </w:r>
      <w:r w:rsidR="00D60672" w:rsidRPr="002B22B5">
        <w:rPr>
          <w:color w:val="auto"/>
          <w:lang w:val="sr-Cyrl-BA"/>
        </w:rPr>
        <w:t xml:space="preserve">писује </w:t>
      </w:r>
      <w:proofErr w:type="spellStart"/>
      <w:r w:rsidR="00D60672" w:rsidRPr="002B22B5">
        <w:rPr>
          <w:color w:val="auto"/>
        </w:rPr>
        <w:t>права</w:t>
      </w:r>
      <w:proofErr w:type="spellEnd"/>
      <w:r w:rsidR="00D60672" w:rsidRPr="002B22B5">
        <w:rPr>
          <w:color w:val="auto"/>
        </w:rPr>
        <w:t xml:space="preserve"> и </w:t>
      </w:r>
      <w:proofErr w:type="spellStart"/>
      <w:r w:rsidR="00D60672" w:rsidRPr="002B22B5">
        <w:rPr>
          <w:color w:val="auto"/>
        </w:rPr>
        <w:t>дужности</w:t>
      </w:r>
      <w:proofErr w:type="spellEnd"/>
      <w:r w:rsidR="00D60672" w:rsidRPr="002B22B5">
        <w:rPr>
          <w:color w:val="auto"/>
        </w:rPr>
        <w:t xml:space="preserve"> </w:t>
      </w:r>
      <w:proofErr w:type="spellStart"/>
      <w:r w:rsidR="00D60672" w:rsidRPr="002B22B5">
        <w:rPr>
          <w:color w:val="auto"/>
        </w:rPr>
        <w:t>Скупштина</w:t>
      </w:r>
      <w:proofErr w:type="spellEnd"/>
      <w:r w:rsidR="00D60672" w:rsidRPr="002B22B5">
        <w:rPr>
          <w:color w:val="auto"/>
        </w:rPr>
        <w:t xml:space="preserve"> </w:t>
      </w:r>
      <w:r w:rsidR="000E3C97" w:rsidRPr="002B22B5">
        <w:rPr>
          <w:color w:val="auto"/>
          <w:lang w:val="sr-Cyrl-BA"/>
        </w:rPr>
        <w:t xml:space="preserve">која </w:t>
      </w:r>
      <w:proofErr w:type="spellStart"/>
      <w:r w:rsidR="00D60672" w:rsidRPr="002B22B5">
        <w:rPr>
          <w:color w:val="auto"/>
        </w:rPr>
        <w:t>доноси</w:t>
      </w:r>
      <w:proofErr w:type="spellEnd"/>
      <w:r w:rsidR="00D60672" w:rsidRPr="002B22B5">
        <w:rPr>
          <w:color w:val="auto"/>
        </w:rPr>
        <w:t xml:space="preserve"> </w:t>
      </w:r>
      <w:proofErr w:type="spellStart"/>
      <w:r w:rsidR="00D60672" w:rsidRPr="002B22B5">
        <w:rPr>
          <w:color w:val="auto"/>
        </w:rPr>
        <w:t>Статут</w:t>
      </w:r>
      <w:proofErr w:type="spellEnd"/>
      <w:r w:rsidR="00D60672" w:rsidRPr="002B22B5">
        <w:rPr>
          <w:color w:val="auto"/>
        </w:rPr>
        <w:t>,</w:t>
      </w:r>
      <w:r w:rsidR="00D60672" w:rsidRPr="002B22B5">
        <w:rPr>
          <w:color w:val="auto"/>
          <w:lang w:val="sr-Cyrl-BA"/>
        </w:rPr>
        <w:t xml:space="preserve"> </w:t>
      </w:r>
      <w:proofErr w:type="spellStart"/>
      <w:r w:rsidR="00D60672" w:rsidRPr="002B22B5">
        <w:rPr>
          <w:color w:val="auto"/>
        </w:rPr>
        <w:t>Пословник</w:t>
      </w:r>
      <w:proofErr w:type="spellEnd"/>
      <w:r w:rsidR="00D60672" w:rsidRPr="002B22B5">
        <w:rPr>
          <w:color w:val="auto"/>
        </w:rPr>
        <w:t xml:space="preserve">, </w:t>
      </w:r>
      <w:proofErr w:type="spellStart"/>
      <w:r w:rsidR="00D60672" w:rsidRPr="002B22B5">
        <w:rPr>
          <w:color w:val="auto"/>
        </w:rPr>
        <w:t>одлуке</w:t>
      </w:r>
      <w:proofErr w:type="spellEnd"/>
      <w:r w:rsidR="00D60672" w:rsidRPr="002B22B5">
        <w:rPr>
          <w:color w:val="auto"/>
        </w:rPr>
        <w:t xml:space="preserve">, </w:t>
      </w:r>
      <w:proofErr w:type="spellStart"/>
      <w:r w:rsidR="00D60672" w:rsidRPr="002B22B5">
        <w:rPr>
          <w:color w:val="auto"/>
        </w:rPr>
        <w:t>рјешења</w:t>
      </w:r>
      <w:proofErr w:type="spellEnd"/>
      <w:r w:rsidR="00D60672" w:rsidRPr="002B22B5">
        <w:rPr>
          <w:color w:val="auto"/>
        </w:rPr>
        <w:t xml:space="preserve">, </w:t>
      </w:r>
      <w:proofErr w:type="spellStart"/>
      <w:r w:rsidR="00D60672" w:rsidRPr="002B22B5">
        <w:rPr>
          <w:color w:val="auto"/>
        </w:rPr>
        <w:t>закључке</w:t>
      </w:r>
      <w:proofErr w:type="spellEnd"/>
      <w:r w:rsidR="00D60672" w:rsidRPr="002B22B5">
        <w:rPr>
          <w:color w:val="auto"/>
        </w:rPr>
        <w:t xml:space="preserve">, </w:t>
      </w:r>
      <w:proofErr w:type="spellStart"/>
      <w:r w:rsidR="00D60672" w:rsidRPr="002B22B5">
        <w:rPr>
          <w:color w:val="auto"/>
        </w:rPr>
        <w:t>правилнике</w:t>
      </w:r>
      <w:proofErr w:type="spellEnd"/>
      <w:r w:rsidR="00D60672" w:rsidRPr="002B22B5">
        <w:rPr>
          <w:color w:val="auto"/>
        </w:rPr>
        <w:t xml:space="preserve">, </w:t>
      </w:r>
      <w:proofErr w:type="spellStart"/>
      <w:r w:rsidR="00D60672" w:rsidRPr="002B22B5">
        <w:rPr>
          <w:color w:val="auto"/>
        </w:rPr>
        <w:t>планове</w:t>
      </w:r>
      <w:proofErr w:type="spellEnd"/>
      <w:r w:rsidR="00D60672" w:rsidRPr="002B22B5">
        <w:rPr>
          <w:color w:val="auto"/>
        </w:rPr>
        <w:t xml:space="preserve">, </w:t>
      </w:r>
      <w:proofErr w:type="spellStart"/>
      <w:r w:rsidR="00D60672" w:rsidRPr="002B22B5">
        <w:rPr>
          <w:color w:val="auto"/>
        </w:rPr>
        <w:t>програме</w:t>
      </w:r>
      <w:proofErr w:type="spellEnd"/>
      <w:r w:rsidR="00D60672" w:rsidRPr="002B22B5">
        <w:rPr>
          <w:color w:val="auto"/>
        </w:rPr>
        <w:t xml:space="preserve">, </w:t>
      </w:r>
      <w:proofErr w:type="spellStart"/>
      <w:r w:rsidR="00D60672" w:rsidRPr="002B22B5">
        <w:rPr>
          <w:color w:val="auto"/>
        </w:rPr>
        <w:t>резолуције</w:t>
      </w:r>
      <w:proofErr w:type="spellEnd"/>
      <w:r w:rsidR="00D60672" w:rsidRPr="002B22B5">
        <w:rPr>
          <w:color w:val="auto"/>
        </w:rPr>
        <w:t xml:space="preserve">, </w:t>
      </w:r>
      <w:proofErr w:type="spellStart"/>
      <w:r w:rsidR="00D60672" w:rsidRPr="002B22B5">
        <w:rPr>
          <w:color w:val="auto"/>
        </w:rPr>
        <w:t>препоруке</w:t>
      </w:r>
      <w:proofErr w:type="spellEnd"/>
      <w:r w:rsidR="00D60672" w:rsidRPr="002B22B5">
        <w:rPr>
          <w:color w:val="auto"/>
        </w:rPr>
        <w:t xml:space="preserve"> и </w:t>
      </w:r>
      <w:proofErr w:type="spellStart"/>
      <w:r w:rsidR="00D60672" w:rsidRPr="002B22B5">
        <w:rPr>
          <w:color w:val="auto"/>
        </w:rPr>
        <w:t>друга</w:t>
      </w:r>
      <w:proofErr w:type="spellEnd"/>
      <w:r w:rsidR="00D60672" w:rsidRPr="002B22B5">
        <w:rPr>
          <w:color w:val="auto"/>
        </w:rPr>
        <w:t xml:space="preserve"> </w:t>
      </w:r>
      <w:proofErr w:type="spellStart"/>
      <w:r w:rsidR="00D60672" w:rsidRPr="002B22B5">
        <w:rPr>
          <w:color w:val="auto"/>
        </w:rPr>
        <w:t>акта</w:t>
      </w:r>
      <w:proofErr w:type="spellEnd"/>
      <w:r w:rsidR="00D60672" w:rsidRPr="002B22B5">
        <w:rPr>
          <w:color w:val="auto"/>
        </w:rPr>
        <w:t xml:space="preserve"> </w:t>
      </w:r>
      <w:proofErr w:type="spellStart"/>
      <w:r w:rsidR="00D60672" w:rsidRPr="002B22B5">
        <w:rPr>
          <w:color w:val="auto"/>
        </w:rPr>
        <w:t>из</w:t>
      </w:r>
      <w:proofErr w:type="spellEnd"/>
      <w:r w:rsidR="00D60672" w:rsidRPr="002B22B5">
        <w:rPr>
          <w:color w:val="auto"/>
        </w:rPr>
        <w:t xml:space="preserve"> </w:t>
      </w:r>
      <w:proofErr w:type="spellStart"/>
      <w:r w:rsidR="00D60672" w:rsidRPr="002B22B5">
        <w:rPr>
          <w:color w:val="auto"/>
        </w:rPr>
        <w:t>своје</w:t>
      </w:r>
      <w:proofErr w:type="spellEnd"/>
      <w:r w:rsidR="00D60672" w:rsidRPr="002B22B5">
        <w:rPr>
          <w:color w:val="auto"/>
        </w:rPr>
        <w:t xml:space="preserve"> </w:t>
      </w:r>
      <w:proofErr w:type="spellStart"/>
      <w:r w:rsidR="00D60672" w:rsidRPr="002B22B5">
        <w:rPr>
          <w:color w:val="auto"/>
        </w:rPr>
        <w:t>надлежности</w:t>
      </w:r>
      <w:proofErr w:type="spellEnd"/>
      <w:r w:rsidR="00D60672" w:rsidRPr="002B22B5">
        <w:rPr>
          <w:color w:val="auto"/>
          <w:lang w:val="sr-Cyrl-BA"/>
        </w:rPr>
        <w:t xml:space="preserve">. </w:t>
      </w:r>
    </w:p>
    <w:p w14:paraId="66F58EC8" w14:textId="77777777" w:rsidR="008408DC" w:rsidRPr="002B22B5" w:rsidRDefault="008408DC" w:rsidP="00F47D54">
      <w:pPr>
        <w:spacing w:line="276" w:lineRule="auto"/>
        <w:jc w:val="both"/>
        <w:rPr>
          <w:lang w:eastAsia="hr-HR"/>
        </w:rPr>
      </w:pPr>
    </w:p>
    <w:p w14:paraId="75736F3C" w14:textId="77777777" w:rsidR="003663F9" w:rsidRPr="002B22B5" w:rsidRDefault="003663F9" w:rsidP="00F47D54">
      <w:pPr>
        <w:spacing w:line="276" w:lineRule="auto"/>
        <w:jc w:val="both"/>
        <w:rPr>
          <w:b/>
          <w:lang w:val="sr-Cyrl-CS"/>
        </w:rPr>
      </w:pPr>
      <w:r w:rsidRPr="002B22B5">
        <w:rPr>
          <w:b/>
          <w:lang w:val="sr-Cyrl-CS"/>
        </w:rPr>
        <w:t>РАЗЛОЗИ ЗА ДОНОШЕЊЕ:</w:t>
      </w:r>
    </w:p>
    <w:p w14:paraId="687F562B" w14:textId="77777777" w:rsidR="00F96254" w:rsidRPr="002B22B5" w:rsidRDefault="00F96254" w:rsidP="00F47D54">
      <w:pPr>
        <w:spacing w:line="276" w:lineRule="auto"/>
        <w:jc w:val="both"/>
        <w:rPr>
          <w:lang w:val="sr-Cyrl-CS"/>
        </w:rPr>
      </w:pPr>
    </w:p>
    <w:p w14:paraId="781995BF" w14:textId="77777777" w:rsidR="00B36E4A" w:rsidRPr="002B22B5" w:rsidRDefault="003663F9" w:rsidP="00095D46">
      <w:pPr>
        <w:spacing w:line="276" w:lineRule="auto"/>
        <w:jc w:val="both"/>
        <w:rPr>
          <w:lang w:val="sr-Cyrl-CS"/>
        </w:rPr>
      </w:pPr>
      <w:r w:rsidRPr="002B22B5">
        <w:rPr>
          <w:lang w:val="sr-Cyrl-CS"/>
        </w:rPr>
        <w:t xml:space="preserve">Чланом </w:t>
      </w:r>
      <w:r w:rsidR="00990DBF" w:rsidRPr="002B22B5">
        <w:rPr>
          <w:lang w:val="sr-Cyrl-BA"/>
        </w:rPr>
        <w:t xml:space="preserve"> </w:t>
      </w:r>
      <w:r w:rsidR="00FE0D3D" w:rsidRPr="002B22B5">
        <w:rPr>
          <w:lang w:val="sr-Cyrl-CS"/>
        </w:rPr>
        <w:t>4</w:t>
      </w:r>
      <w:r w:rsidRPr="002B22B5">
        <w:rPr>
          <w:lang w:val="sr-Cyrl-CS"/>
        </w:rPr>
        <w:t xml:space="preserve">. став </w:t>
      </w:r>
      <w:r w:rsidR="00FE0D3D" w:rsidRPr="002B22B5">
        <w:rPr>
          <w:lang w:val="sr-Cyrl-CS"/>
        </w:rPr>
        <w:t>3</w:t>
      </w:r>
      <w:r w:rsidRPr="002B22B5">
        <w:rPr>
          <w:lang w:val="sr-Cyrl-CS"/>
        </w:rPr>
        <w:t xml:space="preserve">. Закона о порезу на непокретности („Службени гласник Републике Српске“, број </w:t>
      </w:r>
      <w:r w:rsidR="00E20891" w:rsidRPr="002B22B5">
        <w:rPr>
          <w:lang w:val="sr-Cyrl-CS"/>
        </w:rPr>
        <w:t>91/15</w:t>
      </w:r>
      <w:r w:rsidRPr="002B22B5">
        <w:rPr>
          <w:lang w:val="sr-Cyrl-CS"/>
        </w:rPr>
        <w:t xml:space="preserve">) је прописано да </w:t>
      </w:r>
      <w:r w:rsidR="00FE0D3D" w:rsidRPr="002B22B5">
        <w:rPr>
          <w:lang w:val="sr-Cyrl-CS"/>
        </w:rPr>
        <w:t xml:space="preserve">су </w:t>
      </w:r>
      <w:r w:rsidRPr="002B22B5">
        <w:rPr>
          <w:lang w:val="sr-Cyrl-CS"/>
        </w:rPr>
        <w:t xml:space="preserve">Скупштине општина и градова </w:t>
      </w:r>
      <w:r w:rsidR="00FE0D3D" w:rsidRPr="002B22B5">
        <w:rPr>
          <w:lang w:val="sr-Cyrl-CS"/>
        </w:rPr>
        <w:t>дужне да најкасније</w:t>
      </w:r>
      <w:r w:rsidRPr="002B22B5">
        <w:rPr>
          <w:lang w:val="sr-Cyrl-CS"/>
        </w:rPr>
        <w:t xml:space="preserve"> до 31.</w:t>
      </w:r>
      <w:r w:rsidR="00990DBF" w:rsidRPr="002B22B5">
        <w:rPr>
          <w:lang w:val="sr-Cyrl-BA"/>
        </w:rPr>
        <w:t xml:space="preserve"> </w:t>
      </w:r>
      <w:r w:rsidR="00FE0D3D" w:rsidRPr="002B22B5">
        <w:rPr>
          <w:lang w:val="sr-Cyrl-CS"/>
        </w:rPr>
        <w:t>јануара</w:t>
      </w:r>
      <w:r w:rsidR="00E20891" w:rsidRPr="002B22B5">
        <w:rPr>
          <w:lang w:val="sr-Cyrl-CS"/>
        </w:rPr>
        <w:t xml:space="preserve"> </w:t>
      </w:r>
      <w:r w:rsidRPr="002B22B5">
        <w:rPr>
          <w:lang w:val="sr-Cyrl-CS"/>
        </w:rPr>
        <w:t>текућ</w:t>
      </w:r>
      <w:r w:rsidR="00FE0D3D" w:rsidRPr="002B22B5">
        <w:rPr>
          <w:lang w:val="sr-Cyrl-CS"/>
        </w:rPr>
        <w:t>е</w:t>
      </w:r>
      <w:r w:rsidRPr="002B22B5">
        <w:rPr>
          <w:lang w:val="sr-Cyrl-CS"/>
        </w:rPr>
        <w:t xml:space="preserve"> годин</w:t>
      </w:r>
      <w:r w:rsidR="00FE0D3D" w:rsidRPr="002B22B5">
        <w:rPr>
          <w:lang w:val="sr-Cyrl-CS"/>
        </w:rPr>
        <w:t>е</w:t>
      </w:r>
      <w:r w:rsidRPr="002B22B5">
        <w:rPr>
          <w:lang w:val="sr-Cyrl-CS"/>
        </w:rPr>
        <w:t>,</w:t>
      </w:r>
      <w:r w:rsidR="00990DBF" w:rsidRPr="002B22B5">
        <w:rPr>
          <w:lang w:val="sr-Cyrl-BA"/>
        </w:rPr>
        <w:t xml:space="preserve"> </w:t>
      </w:r>
      <w:r w:rsidR="00FE0D3D" w:rsidRPr="002B22B5">
        <w:rPr>
          <w:lang w:val="sr-Cyrl-CS"/>
        </w:rPr>
        <w:t xml:space="preserve">доставе Пореској управи Одлуку о висини вриједности непокретности по зонама на својој територији и то за </w:t>
      </w:r>
      <w:r w:rsidR="00B36E4A" w:rsidRPr="002B22B5">
        <w:rPr>
          <w:lang w:val="sr-Cyrl-CS"/>
        </w:rPr>
        <w:t>не</w:t>
      </w:r>
      <w:r w:rsidR="00FE0D3D" w:rsidRPr="002B22B5">
        <w:rPr>
          <w:lang w:val="sr-Cyrl-CS"/>
        </w:rPr>
        <w:t>покретности</w:t>
      </w:r>
      <w:r w:rsidR="00B36E4A" w:rsidRPr="002B22B5">
        <w:rPr>
          <w:lang w:val="sr-Cyrl-CS"/>
        </w:rPr>
        <w:t xml:space="preserve">: </w:t>
      </w:r>
    </w:p>
    <w:p w14:paraId="0892B055" w14:textId="77777777" w:rsidR="003663F9" w:rsidRPr="00F47D54" w:rsidRDefault="00FE0D3D" w:rsidP="00F47D54">
      <w:pPr>
        <w:pStyle w:val="ListParagraph"/>
        <w:numPr>
          <w:ilvl w:val="0"/>
          <w:numId w:val="10"/>
        </w:numPr>
        <w:spacing w:line="276" w:lineRule="auto"/>
        <w:ind w:left="284" w:hanging="284"/>
        <w:jc w:val="both"/>
        <w:rPr>
          <w:lang w:val="sr-Cyrl-BA"/>
        </w:rPr>
      </w:pPr>
      <w:r w:rsidRPr="00F47D54">
        <w:rPr>
          <w:lang w:val="sr-Cyrl-CS"/>
        </w:rPr>
        <w:t>земљиште</w:t>
      </w:r>
      <w:r w:rsidR="00990DBF" w:rsidRPr="00F47D54">
        <w:rPr>
          <w:lang w:val="sr-Cyrl-BA"/>
        </w:rPr>
        <w:t xml:space="preserve"> </w:t>
      </w:r>
      <w:r w:rsidRPr="00F47D54">
        <w:rPr>
          <w:lang w:val="sr-Cyrl-CS"/>
        </w:rPr>
        <w:t>(грађевинско,</w:t>
      </w:r>
      <w:r w:rsidR="00990DBF" w:rsidRPr="00F47D54">
        <w:rPr>
          <w:lang w:val="sr-Cyrl-BA"/>
        </w:rPr>
        <w:t xml:space="preserve"> </w:t>
      </w:r>
      <w:r w:rsidRPr="00F47D54">
        <w:rPr>
          <w:lang w:val="sr-Cyrl-CS"/>
        </w:rPr>
        <w:t>пољопривредно,</w:t>
      </w:r>
      <w:r w:rsidR="00990DBF" w:rsidRPr="00F47D54">
        <w:rPr>
          <w:lang w:val="sr-Cyrl-BA"/>
        </w:rPr>
        <w:t xml:space="preserve"> </w:t>
      </w:r>
      <w:r w:rsidRPr="00F47D54">
        <w:rPr>
          <w:lang w:val="sr-Cyrl-CS"/>
        </w:rPr>
        <w:t>шумско</w:t>
      </w:r>
      <w:r w:rsidR="00B36E4A" w:rsidRPr="00F47D54">
        <w:rPr>
          <w:lang w:val="sr-Cyrl-CS"/>
        </w:rPr>
        <w:t>,</w:t>
      </w:r>
      <w:r w:rsidR="00990DBF" w:rsidRPr="00F47D54">
        <w:rPr>
          <w:lang w:val="sr-Cyrl-BA"/>
        </w:rPr>
        <w:t xml:space="preserve"> </w:t>
      </w:r>
      <w:r w:rsidR="00B36E4A" w:rsidRPr="00F47D54">
        <w:rPr>
          <w:lang w:val="sr-Cyrl-CS"/>
        </w:rPr>
        <w:t>индустријско и остало)</w:t>
      </w:r>
      <w:r w:rsidR="00196EFA" w:rsidRPr="00F47D54">
        <w:rPr>
          <w:lang w:val="hr-HR"/>
        </w:rPr>
        <w:t xml:space="preserve"> </w:t>
      </w:r>
      <w:r w:rsidR="00196EFA" w:rsidRPr="00F47D54">
        <w:rPr>
          <w:lang w:val="sr-Cyrl-BA"/>
        </w:rPr>
        <w:t>и</w:t>
      </w:r>
    </w:p>
    <w:p w14:paraId="7E836EBD" w14:textId="77777777" w:rsidR="00B36E4A" w:rsidRPr="00F47D54" w:rsidRDefault="00B36E4A" w:rsidP="00F47D54">
      <w:pPr>
        <w:pStyle w:val="ListParagraph"/>
        <w:numPr>
          <w:ilvl w:val="0"/>
          <w:numId w:val="10"/>
        </w:numPr>
        <w:spacing w:line="276" w:lineRule="auto"/>
        <w:ind w:left="284" w:hanging="284"/>
        <w:jc w:val="both"/>
        <w:rPr>
          <w:lang w:val="hr-HR"/>
        </w:rPr>
      </w:pPr>
      <w:r w:rsidRPr="00F47D54">
        <w:rPr>
          <w:lang w:val="sr-Cyrl-CS"/>
        </w:rPr>
        <w:t>грађевинске објекте (стан,</w:t>
      </w:r>
      <w:r w:rsidR="000E3C97" w:rsidRPr="00F47D54">
        <w:rPr>
          <w:lang w:val="sr-Cyrl-CS"/>
        </w:rPr>
        <w:t xml:space="preserve"> </w:t>
      </w:r>
      <w:r w:rsidRPr="00F47D54">
        <w:rPr>
          <w:lang w:val="sr-Cyrl-CS"/>
        </w:rPr>
        <w:t>кућа,</w:t>
      </w:r>
      <w:r w:rsidR="000E3C97" w:rsidRPr="00F47D54">
        <w:rPr>
          <w:lang w:val="sr-Cyrl-CS"/>
        </w:rPr>
        <w:t xml:space="preserve"> </w:t>
      </w:r>
      <w:r w:rsidRPr="00F47D54">
        <w:rPr>
          <w:lang w:val="sr-Cyrl-CS"/>
        </w:rPr>
        <w:t>пословни,</w:t>
      </w:r>
      <w:r w:rsidR="000E3C97" w:rsidRPr="00F47D54">
        <w:rPr>
          <w:lang w:val="sr-Cyrl-CS"/>
        </w:rPr>
        <w:t xml:space="preserve"> </w:t>
      </w:r>
      <w:r w:rsidRPr="00F47D54">
        <w:rPr>
          <w:lang w:val="sr-Cyrl-CS"/>
        </w:rPr>
        <w:t>идустријски и остали објекти)</w:t>
      </w:r>
      <w:r w:rsidR="001C7DB0" w:rsidRPr="00F47D54">
        <w:rPr>
          <w:lang w:val="sr-Cyrl-CS"/>
        </w:rPr>
        <w:t>.</w:t>
      </w:r>
    </w:p>
    <w:p w14:paraId="133C3BE7" w14:textId="77777777" w:rsidR="00D21CAA" w:rsidRPr="002B22B5" w:rsidRDefault="007A2D66" w:rsidP="00095D46">
      <w:pPr>
        <w:spacing w:line="276" w:lineRule="auto"/>
        <w:jc w:val="both"/>
        <w:rPr>
          <w:lang w:val="hr-HR"/>
        </w:rPr>
      </w:pPr>
      <w:r w:rsidRPr="002B22B5">
        <w:rPr>
          <w:lang w:val="sr-Cyrl-CS"/>
        </w:rPr>
        <w:t>С тим у вези</w:t>
      </w:r>
      <w:r w:rsidR="001C7DB0" w:rsidRPr="002B22B5">
        <w:rPr>
          <w:lang w:val="sr-Cyrl-CS"/>
        </w:rPr>
        <w:t>,</w:t>
      </w:r>
      <w:r w:rsidRPr="002B22B5">
        <w:rPr>
          <w:lang w:val="sr-Cyrl-CS"/>
        </w:rPr>
        <w:t xml:space="preserve"> предлажемо усвајање Одлуке у предложеном тексту.</w:t>
      </w:r>
    </w:p>
    <w:p w14:paraId="08D2CE7C" w14:textId="77777777" w:rsidR="00113702" w:rsidRPr="002B22B5" w:rsidRDefault="00113702" w:rsidP="00884BFB">
      <w:pPr>
        <w:jc w:val="both"/>
        <w:rPr>
          <w:lang w:val="hr-HR"/>
        </w:rPr>
      </w:pPr>
    </w:p>
    <w:p w14:paraId="1A481C0D" w14:textId="77777777" w:rsidR="00113702" w:rsidRPr="002B22B5" w:rsidRDefault="009A286D" w:rsidP="00884BFB">
      <w:pPr>
        <w:jc w:val="both"/>
        <w:rPr>
          <w:lang w:val="hr-HR"/>
        </w:rPr>
      </w:pPr>
      <w:r w:rsidRPr="002B22B5">
        <w:rPr>
          <w:lang w:val="sr-Cyrl-BA"/>
        </w:rPr>
        <w:t xml:space="preserve"> </w:t>
      </w:r>
    </w:p>
    <w:p w14:paraId="5B68F09E" w14:textId="77777777" w:rsidR="00B36E4A" w:rsidRPr="001C26D9" w:rsidRDefault="00B36E4A" w:rsidP="00884BFB">
      <w:pPr>
        <w:jc w:val="both"/>
        <w:rPr>
          <w:lang w:val="sr-Cyrl-BA"/>
        </w:rPr>
      </w:pPr>
    </w:p>
    <w:p w14:paraId="63E3CBB1" w14:textId="77777777" w:rsidR="006B61F1" w:rsidRPr="002B22B5" w:rsidRDefault="006B61F1" w:rsidP="00884BFB">
      <w:pPr>
        <w:jc w:val="both"/>
        <w:rPr>
          <w:lang w:val="sr-Cyrl-CS" w:eastAsia="hr-HR"/>
        </w:rPr>
      </w:pPr>
      <w:r w:rsidRPr="002B22B5">
        <w:rPr>
          <w:lang w:val="sr-Cyrl-CS"/>
        </w:rPr>
        <w:t xml:space="preserve">                                                         </w:t>
      </w:r>
      <w:r w:rsidRPr="002B22B5">
        <w:rPr>
          <w:lang w:val="sr-Cyrl-CS"/>
        </w:rPr>
        <w:tab/>
        <w:t xml:space="preserve">   </w:t>
      </w:r>
    </w:p>
    <w:p w14:paraId="350A2D87" w14:textId="77777777" w:rsidR="006B61F1" w:rsidRPr="002B22B5" w:rsidRDefault="006B61F1" w:rsidP="00884BFB">
      <w:pPr>
        <w:jc w:val="both"/>
        <w:rPr>
          <w:b/>
          <w:bCs/>
          <w:lang w:val="sr-Cyrl-BA"/>
        </w:rPr>
      </w:pPr>
      <w:r w:rsidRPr="002B22B5">
        <w:rPr>
          <w:b/>
          <w:bCs/>
          <w:lang w:val="sr-Cyrl-BA"/>
        </w:rPr>
        <w:t>Обрађивач:</w:t>
      </w:r>
      <w:r w:rsidR="00F96254" w:rsidRPr="002B22B5">
        <w:rPr>
          <w:b/>
          <w:bCs/>
          <w:lang w:val="sr-Cyrl-BA"/>
        </w:rPr>
        <w:tab/>
      </w:r>
      <w:r w:rsidRPr="002B22B5">
        <w:rPr>
          <w:b/>
          <w:bCs/>
          <w:lang w:val="sr-Cyrl-BA"/>
        </w:rPr>
        <w:tab/>
      </w:r>
      <w:r w:rsidRPr="002B22B5">
        <w:rPr>
          <w:b/>
          <w:bCs/>
          <w:lang w:val="sr-Cyrl-BA"/>
        </w:rPr>
        <w:tab/>
      </w:r>
      <w:r w:rsidRPr="002B22B5">
        <w:rPr>
          <w:b/>
          <w:bCs/>
          <w:lang w:val="sr-Cyrl-BA"/>
        </w:rPr>
        <w:tab/>
      </w:r>
      <w:r w:rsidRPr="002B22B5">
        <w:rPr>
          <w:b/>
          <w:bCs/>
          <w:lang w:val="sr-Cyrl-BA"/>
        </w:rPr>
        <w:tab/>
      </w:r>
      <w:r w:rsidRPr="002B22B5">
        <w:rPr>
          <w:b/>
          <w:bCs/>
          <w:lang w:val="sr-Cyrl-BA"/>
        </w:rPr>
        <w:tab/>
      </w:r>
      <w:r w:rsidRPr="002B22B5">
        <w:rPr>
          <w:b/>
          <w:bCs/>
          <w:lang w:val="sr-Cyrl-BA"/>
        </w:rPr>
        <w:tab/>
      </w:r>
      <w:r w:rsidRPr="002B22B5">
        <w:rPr>
          <w:b/>
          <w:bCs/>
          <w:lang w:val="sr-Cyrl-BA"/>
        </w:rPr>
        <w:tab/>
        <w:t xml:space="preserve">   </w:t>
      </w:r>
      <w:r w:rsidR="00990DBF" w:rsidRPr="002B22B5">
        <w:rPr>
          <w:b/>
          <w:bCs/>
          <w:lang w:val="sr-Cyrl-BA"/>
        </w:rPr>
        <w:t xml:space="preserve"> </w:t>
      </w:r>
      <w:r w:rsidRPr="002B22B5">
        <w:rPr>
          <w:b/>
          <w:bCs/>
          <w:lang w:val="sr-Cyrl-BA"/>
        </w:rPr>
        <w:t xml:space="preserve">  </w:t>
      </w:r>
      <w:r w:rsidR="00F96254" w:rsidRPr="002B22B5">
        <w:rPr>
          <w:b/>
          <w:bCs/>
          <w:lang w:val="sr-Cyrl-BA"/>
        </w:rPr>
        <w:tab/>
      </w:r>
      <w:r w:rsidRPr="002B22B5">
        <w:rPr>
          <w:b/>
          <w:bCs/>
          <w:lang w:val="sr-Cyrl-BA"/>
        </w:rPr>
        <w:t>Предлагач:</w:t>
      </w:r>
    </w:p>
    <w:p w14:paraId="628160EB" w14:textId="77777777" w:rsidR="00A74D9C" w:rsidRPr="002B22B5" w:rsidRDefault="00A74D9C" w:rsidP="00A74D9C">
      <w:pPr>
        <w:jc w:val="both"/>
        <w:rPr>
          <w:lang w:val="sr-Cyrl-BA"/>
        </w:rPr>
      </w:pPr>
      <w:r w:rsidRPr="002B22B5">
        <w:rPr>
          <w:lang w:val="sr-Cyrl-CS"/>
        </w:rPr>
        <w:t>Одјељење за просторно уређење</w:t>
      </w:r>
      <w:r w:rsidRPr="002B22B5">
        <w:rPr>
          <w:lang w:val="sr-Cyrl-BA"/>
        </w:rPr>
        <w:t xml:space="preserve"> </w:t>
      </w:r>
      <w:r w:rsidRPr="002B22B5">
        <w:rPr>
          <w:lang w:val="sr-Cyrl-BA"/>
        </w:rPr>
        <w:tab/>
      </w:r>
      <w:r w:rsidRPr="002B22B5">
        <w:rPr>
          <w:lang w:val="sr-Cyrl-BA"/>
        </w:rPr>
        <w:tab/>
      </w:r>
      <w:r w:rsidRPr="002B22B5">
        <w:rPr>
          <w:lang w:val="sr-Cyrl-BA"/>
        </w:rPr>
        <w:tab/>
      </w:r>
      <w:r w:rsidRPr="002B22B5">
        <w:rPr>
          <w:lang w:val="sr-Cyrl-BA"/>
        </w:rPr>
        <w:tab/>
      </w:r>
      <w:r w:rsidRPr="002B22B5">
        <w:rPr>
          <w:lang w:val="sr-Cyrl-BA"/>
        </w:rPr>
        <w:tab/>
      </w:r>
      <w:r w:rsidR="004D0038">
        <w:rPr>
          <w:lang w:val="hr-HR"/>
        </w:rPr>
        <w:tab/>
      </w:r>
      <w:r w:rsidRPr="002B22B5">
        <w:rPr>
          <w:lang w:val="sr-Cyrl-BA"/>
        </w:rPr>
        <w:t>Начелник општине</w:t>
      </w:r>
      <w:r w:rsidRPr="002B22B5">
        <w:rPr>
          <w:lang w:val="sr-Cyrl-BA"/>
        </w:rPr>
        <w:tab/>
      </w:r>
    </w:p>
    <w:p w14:paraId="186FFF26" w14:textId="77777777" w:rsidR="00572849" w:rsidRPr="002B22B5" w:rsidRDefault="00505D90" w:rsidP="00884BFB">
      <w:pPr>
        <w:jc w:val="both"/>
        <w:rPr>
          <w:lang w:val="sr-Cyrl-CS"/>
        </w:rPr>
      </w:pPr>
      <w:r>
        <w:rPr>
          <w:lang w:val="sr-Cyrl-BA"/>
        </w:rPr>
        <w:t>и имовинско-правне послове</w:t>
      </w:r>
    </w:p>
    <w:sectPr w:rsidR="00572849" w:rsidRPr="002B22B5" w:rsidSect="005A567E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47861"/>
    <w:multiLevelType w:val="hybridMultilevel"/>
    <w:tmpl w:val="21CA993C"/>
    <w:lvl w:ilvl="0" w:tplc="DA3600E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5158F"/>
    <w:multiLevelType w:val="hybridMultilevel"/>
    <w:tmpl w:val="5A6442EA"/>
    <w:lvl w:ilvl="0" w:tplc="1BBC4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ED2"/>
    <w:multiLevelType w:val="multilevel"/>
    <w:tmpl w:val="591E4198"/>
    <w:lvl w:ilvl="0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5" w:hanging="360"/>
      </w:pPr>
    </w:lvl>
    <w:lvl w:ilvl="2">
      <w:start w:val="1"/>
      <w:numFmt w:val="lowerRoman"/>
      <w:lvlText w:val="%3."/>
      <w:lvlJc w:val="right"/>
      <w:pPr>
        <w:ind w:left="1995" w:hanging="180"/>
      </w:pPr>
    </w:lvl>
    <w:lvl w:ilvl="3">
      <w:start w:val="1"/>
      <w:numFmt w:val="decimal"/>
      <w:lvlText w:val="%4."/>
      <w:lvlJc w:val="left"/>
      <w:pPr>
        <w:ind w:left="2715" w:hanging="360"/>
      </w:pPr>
    </w:lvl>
    <w:lvl w:ilvl="4">
      <w:start w:val="1"/>
      <w:numFmt w:val="lowerLetter"/>
      <w:lvlText w:val="%5."/>
      <w:lvlJc w:val="left"/>
      <w:pPr>
        <w:ind w:left="3435" w:hanging="360"/>
      </w:pPr>
    </w:lvl>
    <w:lvl w:ilvl="5">
      <w:start w:val="1"/>
      <w:numFmt w:val="lowerRoman"/>
      <w:lvlText w:val="%6."/>
      <w:lvlJc w:val="right"/>
      <w:pPr>
        <w:ind w:left="4155" w:hanging="180"/>
      </w:pPr>
    </w:lvl>
    <w:lvl w:ilvl="6">
      <w:start w:val="1"/>
      <w:numFmt w:val="decimal"/>
      <w:lvlText w:val="%7."/>
      <w:lvlJc w:val="left"/>
      <w:pPr>
        <w:ind w:left="4875" w:hanging="360"/>
      </w:pPr>
    </w:lvl>
    <w:lvl w:ilvl="7">
      <w:start w:val="1"/>
      <w:numFmt w:val="lowerLetter"/>
      <w:lvlText w:val="%8."/>
      <w:lvlJc w:val="left"/>
      <w:pPr>
        <w:ind w:left="5595" w:hanging="360"/>
      </w:pPr>
    </w:lvl>
    <w:lvl w:ilvl="8">
      <w:start w:val="1"/>
      <w:numFmt w:val="lowerRoman"/>
      <w:lvlText w:val="%9."/>
      <w:lvlJc w:val="right"/>
      <w:pPr>
        <w:ind w:left="6315" w:hanging="180"/>
      </w:pPr>
    </w:lvl>
  </w:abstractNum>
  <w:abstractNum w:abstractNumId="3" w15:restartNumberingAfterBreak="0">
    <w:nsid w:val="36DD09C7"/>
    <w:multiLevelType w:val="hybridMultilevel"/>
    <w:tmpl w:val="9E8A86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A1570"/>
    <w:multiLevelType w:val="hybridMultilevel"/>
    <w:tmpl w:val="0F381AE6"/>
    <w:lvl w:ilvl="0" w:tplc="35CA08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6603E"/>
    <w:multiLevelType w:val="hybridMultilevel"/>
    <w:tmpl w:val="F4B8F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E5D34"/>
    <w:multiLevelType w:val="hybridMultilevel"/>
    <w:tmpl w:val="591E4198"/>
    <w:lvl w:ilvl="0" w:tplc="E1564ADC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 w15:restartNumberingAfterBreak="0">
    <w:nsid w:val="44E012D0"/>
    <w:multiLevelType w:val="hybridMultilevel"/>
    <w:tmpl w:val="8F58B9AE"/>
    <w:lvl w:ilvl="0" w:tplc="034E09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73C"/>
    <w:multiLevelType w:val="multilevel"/>
    <w:tmpl w:val="591E4198"/>
    <w:lvl w:ilvl="0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5" w:hanging="360"/>
      </w:pPr>
    </w:lvl>
    <w:lvl w:ilvl="2">
      <w:start w:val="1"/>
      <w:numFmt w:val="lowerRoman"/>
      <w:lvlText w:val="%3."/>
      <w:lvlJc w:val="right"/>
      <w:pPr>
        <w:ind w:left="1995" w:hanging="180"/>
      </w:pPr>
    </w:lvl>
    <w:lvl w:ilvl="3">
      <w:start w:val="1"/>
      <w:numFmt w:val="decimal"/>
      <w:lvlText w:val="%4."/>
      <w:lvlJc w:val="left"/>
      <w:pPr>
        <w:ind w:left="2715" w:hanging="360"/>
      </w:pPr>
    </w:lvl>
    <w:lvl w:ilvl="4">
      <w:start w:val="1"/>
      <w:numFmt w:val="lowerLetter"/>
      <w:lvlText w:val="%5."/>
      <w:lvlJc w:val="left"/>
      <w:pPr>
        <w:ind w:left="3435" w:hanging="360"/>
      </w:pPr>
    </w:lvl>
    <w:lvl w:ilvl="5">
      <w:start w:val="1"/>
      <w:numFmt w:val="lowerRoman"/>
      <w:lvlText w:val="%6."/>
      <w:lvlJc w:val="right"/>
      <w:pPr>
        <w:ind w:left="4155" w:hanging="180"/>
      </w:pPr>
    </w:lvl>
    <w:lvl w:ilvl="6">
      <w:start w:val="1"/>
      <w:numFmt w:val="decimal"/>
      <w:lvlText w:val="%7."/>
      <w:lvlJc w:val="left"/>
      <w:pPr>
        <w:ind w:left="4875" w:hanging="360"/>
      </w:pPr>
    </w:lvl>
    <w:lvl w:ilvl="7">
      <w:start w:val="1"/>
      <w:numFmt w:val="lowerLetter"/>
      <w:lvlText w:val="%8."/>
      <w:lvlJc w:val="left"/>
      <w:pPr>
        <w:ind w:left="5595" w:hanging="360"/>
      </w:pPr>
    </w:lvl>
    <w:lvl w:ilvl="8">
      <w:start w:val="1"/>
      <w:numFmt w:val="lowerRoman"/>
      <w:lvlText w:val="%9."/>
      <w:lvlJc w:val="right"/>
      <w:pPr>
        <w:ind w:left="6315" w:hanging="180"/>
      </w:pPr>
    </w:lvl>
  </w:abstractNum>
  <w:abstractNum w:abstractNumId="9" w15:restartNumberingAfterBreak="0">
    <w:nsid w:val="7A892618"/>
    <w:multiLevelType w:val="hybridMultilevel"/>
    <w:tmpl w:val="A54E44A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A7E4C"/>
    <w:multiLevelType w:val="hybridMultilevel"/>
    <w:tmpl w:val="F3ACBE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749212">
    <w:abstractNumId w:val="10"/>
  </w:num>
  <w:num w:numId="2" w16cid:durableId="1529028980">
    <w:abstractNumId w:val="4"/>
  </w:num>
  <w:num w:numId="3" w16cid:durableId="1983073312">
    <w:abstractNumId w:val="6"/>
  </w:num>
  <w:num w:numId="4" w16cid:durableId="1394625496">
    <w:abstractNumId w:val="2"/>
  </w:num>
  <w:num w:numId="5" w16cid:durableId="2034577394">
    <w:abstractNumId w:val="8"/>
  </w:num>
  <w:num w:numId="6" w16cid:durableId="1365525104">
    <w:abstractNumId w:val="0"/>
  </w:num>
  <w:num w:numId="7" w16cid:durableId="683096975">
    <w:abstractNumId w:val="5"/>
  </w:num>
  <w:num w:numId="8" w16cid:durableId="1841584065">
    <w:abstractNumId w:val="7"/>
  </w:num>
  <w:num w:numId="9" w16cid:durableId="1988394508">
    <w:abstractNumId w:val="9"/>
  </w:num>
  <w:num w:numId="10" w16cid:durableId="1629121255">
    <w:abstractNumId w:val="3"/>
  </w:num>
  <w:num w:numId="11" w16cid:durableId="1098210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D01"/>
    <w:rsid w:val="000072DD"/>
    <w:rsid w:val="0001218B"/>
    <w:rsid w:val="00021A87"/>
    <w:rsid w:val="00042220"/>
    <w:rsid w:val="00095D46"/>
    <w:rsid w:val="000C19B8"/>
    <w:rsid w:val="000E35B5"/>
    <w:rsid w:val="000E3C97"/>
    <w:rsid w:val="0011366B"/>
    <w:rsid w:val="00113702"/>
    <w:rsid w:val="00121F73"/>
    <w:rsid w:val="00133E08"/>
    <w:rsid w:val="00134390"/>
    <w:rsid w:val="00135CBB"/>
    <w:rsid w:val="0014368D"/>
    <w:rsid w:val="00162251"/>
    <w:rsid w:val="0017163C"/>
    <w:rsid w:val="00194EEE"/>
    <w:rsid w:val="00196EFA"/>
    <w:rsid w:val="001A076E"/>
    <w:rsid w:val="001A25F2"/>
    <w:rsid w:val="001C26D9"/>
    <w:rsid w:val="001C7DB0"/>
    <w:rsid w:val="001E0BCE"/>
    <w:rsid w:val="0021210C"/>
    <w:rsid w:val="002201F8"/>
    <w:rsid w:val="002421E1"/>
    <w:rsid w:val="00247AC8"/>
    <w:rsid w:val="0026360F"/>
    <w:rsid w:val="0026497E"/>
    <w:rsid w:val="00291169"/>
    <w:rsid w:val="002A00AF"/>
    <w:rsid w:val="002B22B5"/>
    <w:rsid w:val="002B4AB3"/>
    <w:rsid w:val="002E3A2F"/>
    <w:rsid w:val="00303956"/>
    <w:rsid w:val="00310E29"/>
    <w:rsid w:val="003327A5"/>
    <w:rsid w:val="003553E2"/>
    <w:rsid w:val="00366000"/>
    <w:rsid w:val="003663F9"/>
    <w:rsid w:val="00366462"/>
    <w:rsid w:val="0037594E"/>
    <w:rsid w:val="00377BFE"/>
    <w:rsid w:val="00382FF8"/>
    <w:rsid w:val="003B092A"/>
    <w:rsid w:val="003C193A"/>
    <w:rsid w:val="00403777"/>
    <w:rsid w:val="0041442D"/>
    <w:rsid w:val="0041726E"/>
    <w:rsid w:val="004301D7"/>
    <w:rsid w:val="004653E1"/>
    <w:rsid w:val="00476E94"/>
    <w:rsid w:val="004C03A2"/>
    <w:rsid w:val="004D0038"/>
    <w:rsid w:val="004D51B1"/>
    <w:rsid w:val="005021BB"/>
    <w:rsid w:val="00505D90"/>
    <w:rsid w:val="00520E25"/>
    <w:rsid w:val="0052639F"/>
    <w:rsid w:val="0053607F"/>
    <w:rsid w:val="0056380B"/>
    <w:rsid w:val="00570F6A"/>
    <w:rsid w:val="00572849"/>
    <w:rsid w:val="005857A2"/>
    <w:rsid w:val="00592D01"/>
    <w:rsid w:val="00595A37"/>
    <w:rsid w:val="005A567E"/>
    <w:rsid w:val="005C4561"/>
    <w:rsid w:val="005D3A20"/>
    <w:rsid w:val="006603D6"/>
    <w:rsid w:val="00662C24"/>
    <w:rsid w:val="006641D2"/>
    <w:rsid w:val="006B39C3"/>
    <w:rsid w:val="006B61F1"/>
    <w:rsid w:val="006C76D3"/>
    <w:rsid w:val="006C78D8"/>
    <w:rsid w:val="006D78CF"/>
    <w:rsid w:val="006E0892"/>
    <w:rsid w:val="006F7C38"/>
    <w:rsid w:val="006F7C39"/>
    <w:rsid w:val="00716445"/>
    <w:rsid w:val="00721A41"/>
    <w:rsid w:val="00733C90"/>
    <w:rsid w:val="00734ADE"/>
    <w:rsid w:val="007A2D66"/>
    <w:rsid w:val="007A4760"/>
    <w:rsid w:val="007A6C86"/>
    <w:rsid w:val="007D713B"/>
    <w:rsid w:val="007F269F"/>
    <w:rsid w:val="0083149E"/>
    <w:rsid w:val="008408DC"/>
    <w:rsid w:val="008538C2"/>
    <w:rsid w:val="00881DEB"/>
    <w:rsid w:val="00882761"/>
    <w:rsid w:val="00884BFB"/>
    <w:rsid w:val="00885871"/>
    <w:rsid w:val="00886175"/>
    <w:rsid w:val="00894B62"/>
    <w:rsid w:val="008C3B6C"/>
    <w:rsid w:val="008E2090"/>
    <w:rsid w:val="008F4409"/>
    <w:rsid w:val="00927A6A"/>
    <w:rsid w:val="00931BFA"/>
    <w:rsid w:val="00937BE1"/>
    <w:rsid w:val="009521B6"/>
    <w:rsid w:val="0096762E"/>
    <w:rsid w:val="00970F64"/>
    <w:rsid w:val="00976D36"/>
    <w:rsid w:val="00990DBF"/>
    <w:rsid w:val="00991847"/>
    <w:rsid w:val="009A286D"/>
    <w:rsid w:val="009A47B5"/>
    <w:rsid w:val="009B2165"/>
    <w:rsid w:val="009D1318"/>
    <w:rsid w:val="009E18B8"/>
    <w:rsid w:val="00A045ED"/>
    <w:rsid w:val="00A1718C"/>
    <w:rsid w:val="00A236AA"/>
    <w:rsid w:val="00A431AC"/>
    <w:rsid w:val="00A61DF2"/>
    <w:rsid w:val="00A74D9C"/>
    <w:rsid w:val="00AB3A0F"/>
    <w:rsid w:val="00AB53E5"/>
    <w:rsid w:val="00AC59D7"/>
    <w:rsid w:val="00AD516A"/>
    <w:rsid w:val="00AD6049"/>
    <w:rsid w:val="00AE63B7"/>
    <w:rsid w:val="00AE72F0"/>
    <w:rsid w:val="00B233E9"/>
    <w:rsid w:val="00B25F83"/>
    <w:rsid w:val="00B31505"/>
    <w:rsid w:val="00B36E4A"/>
    <w:rsid w:val="00B45100"/>
    <w:rsid w:val="00B843AF"/>
    <w:rsid w:val="00B84E96"/>
    <w:rsid w:val="00BB36B0"/>
    <w:rsid w:val="00C0279C"/>
    <w:rsid w:val="00C2044C"/>
    <w:rsid w:val="00C47CF1"/>
    <w:rsid w:val="00C51BA4"/>
    <w:rsid w:val="00C87CCB"/>
    <w:rsid w:val="00CB14ED"/>
    <w:rsid w:val="00CC2DF1"/>
    <w:rsid w:val="00CF334D"/>
    <w:rsid w:val="00CF5E21"/>
    <w:rsid w:val="00D0588C"/>
    <w:rsid w:val="00D06F4A"/>
    <w:rsid w:val="00D21CAA"/>
    <w:rsid w:val="00D42595"/>
    <w:rsid w:val="00D60672"/>
    <w:rsid w:val="00D62F91"/>
    <w:rsid w:val="00D76433"/>
    <w:rsid w:val="00DC1AFB"/>
    <w:rsid w:val="00DD2BA3"/>
    <w:rsid w:val="00DF0044"/>
    <w:rsid w:val="00E20891"/>
    <w:rsid w:val="00E27A9B"/>
    <w:rsid w:val="00E32CBE"/>
    <w:rsid w:val="00E44053"/>
    <w:rsid w:val="00E84EE5"/>
    <w:rsid w:val="00E86E68"/>
    <w:rsid w:val="00EC2BD9"/>
    <w:rsid w:val="00ED2328"/>
    <w:rsid w:val="00ED3251"/>
    <w:rsid w:val="00EE20BF"/>
    <w:rsid w:val="00EE2ADA"/>
    <w:rsid w:val="00EF5BA2"/>
    <w:rsid w:val="00F06BBF"/>
    <w:rsid w:val="00F105CB"/>
    <w:rsid w:val="00F27B52"/>
    <w:rsid w:val="00F45214"/>
    <w:rsid w:val="00F47D54"/>
    <w:rsid w:val="00F510C3"/>
    <w:rsid w:val="00F96254"/>
    <w:rsid w:val="00FE0D3D"/>
    <w:rsid w:val="00FE3A38"/>
    <w:rsid w:val="00FE560F"/>
    <w:rsid w:val="00FF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36760"/>
  <w15:docId w15:val="{864A697E-A899-4E15-A4E6-3F835557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lang w:val="sr-Cyrl-BA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lang w:val="sr-Cyrl-BA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lang w:val="sr-Cyrl-B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8"/>
      <w:lang w:val="sr-Cyrl-BA"/>
    </w:rPr>
  </w:style>
  <w:style w:type="paragraph" w:styleId="Heading5">
    <w:name w:val="heading 5"/>
    <w:basedOn w:val="Normal"/>
    <w:next w:val="Normal"/>
    <w:qFormat/>
    <w:pPr>
      <w:keepNext/>
      <w:ind w:firstLine="708"/>
      <w:jc w:val="center"/>
      <w:outlineLvl w:val="4"/>
    </w:pPr>
    <w:rPr>
      <w:b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lang w:val="sr-Cyrl-CS"/>
    </w:rPr>
  </w:style>
  <w:style w:type="paragraph" w:styleId="BodyTextIndent">
    <w:name w:val="Body Text Indent"/>
    <w:basedOn w:val="Normal"/>
    <w:pPr>
      <w:ind w:firstLine="360"/>
      <w:jc w:val="both"/>
    </w:pPr>
    <w:rPr>
      <w:lang w:val="sr-Cyrl-CS"/>
    </w:rPr>
  </w:style>
  <w:style w:type="paragraph" w:styleId="BalloonText">
    <w:name w:val="Balloon Text"/>
    <w:basedOn w:val="Normal"/>
    <w:link w:val="BalloonTextChar"/>
    <w:rsid w:val="007A2D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2D66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716445"/>
    <w:rPr>
      <w:i/>
      <w:iCs/>
    </w:rPr>
  </w:style>
  <w:style w:type="paragraph" w:customStyle="1" w:styleId="Default">
    <w:name w:val="Default"/>
    <w:rsid w:val="00D6067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47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>Opstina Brod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</dc:title>
  <dc:creator>bkunic</dc:creator>
  <cp:lastModifiedBy>Slobodanka Gojković</cp:lastModifiedBy>
  <cp:revision>6</cp:revision>
  <cp:lastPrinted>2024-12-17T09:57:00Z</cp:lastPrinted>
  <dcterms:created xsi:type="dcterms:W3CDTF">2024-12-10T07:23:00Z</dcterms:created>
  <dcterms:modified xsi:type="dcterms:W3CDTF">2024-12-17T09:57:00Z</dcterms:modified>
</cp:coreProperties>
</file>