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588"/>
        <w:gridCol w:w="799"/>
        <w:gridCol w:w="1273"/>
        <w:gridCol w:w="1791"/>
        <w:gridCol w:w="714"/>
        <w:gridCol w:w="869"/>
        <w:gridCol w:w="869"/>
        <w:gridCol w:w="869"/>
        <w:gridCol w:w="869"/>
        <w:gridCol w:w="747"/>
        <w:gridCol w:w="1210"/>
        <w:gridCol w:w="1276"/>
        <w:gridCol w:w="1275"/>
        <w:gridCol w:w="1276"/>
        <w:gridCol w:w="1418"/>
      </w:tblGrid>
      <w:tr w:rsidR="00BD1CE1" w:rsidRPr="00E67444" w:rsidTr="00BD1CE1">
        <w:tc>
          <w:tcPr>
            <w:tcW w:w="15843" w:type="dxa"/>
            <w:gridSpan w:val="15"/>
          </w:tcPr>
          <w:p w:rsidR="00BD1CE1" w:rsidRPr="000862E0" w:rsidRDefault="00BD1CE1" w:rsidP="00BD1CE1">
            <w:pPr>
              <w:spacing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0" w:name="_GoBack"/>
            <w:bookmarkEnd w:id="0"/>
            <w:r w:rsidRPr="000862E0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Преглед тржишних вриједности непокретности по зонама на подручју општине Брод</w:t>
            </w:r>
          </w:p>
        </w:tc>
      </w:tr>
      <w:tr w:rsidR="00BD1CE1" w:rsidRPr="00E67444" w:rsidTr="00BD1CE1">
        <w:tc>
          <w:tcPr>
            <w:tcW w:w="5165" w:type="dxa"/>
            <w:gridSpan w:val="5"/>
          </w:tcPr>
          <w:p w:rsidR="00BD1CE1" w:rsidRPr="000862E0" w:rsidRDefault="00BD1CE1" w:rsidP="00BD1C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0862E0">
              <w:rPr>
                <w:rFonts w:ascii="Times New Roman" w:hAnsi="Times New Roman" w:cs="Times New Roman"/>
                <w:b/>
                <w:szCs w:val="24"/>
                <w:lang w:val="sr-Cyrl-BA"/>
              </w:rPr>
              <w:t>Основни подаци</w:t>
            </w:r>
          </w:p>
        </w:tc>
        <w:tc>
          <w:tcPr>
            <w:tcW w:w="4223" w:type="dxa"/>
            <w:gridSpan w:val="5"/>
          </w:tcPr>
          <w:p w:rsidR="00BD1CE1" w:rsidRPr="000862E0" w:rsidRDefault="00BD1CE1" w:rsidP="00BD1C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0862E0">
              <w:rPr>
                <w:rFonts w:ascii="Times New Roman" w:hAnsi="Times New Roman" w:cs="Times New Roman"/>
                <w:b/>
                <w:szCs w:val="24"/>
                <w:lang w:val="sr-Cyrl-BA"/>
              </w:rPr>
              <w:t>Земљиште</w:t>
            </w:r>
          </w:p>
        </w:tc>
        <w:tc>
          <w:tcPr>
            <w:tcW w:w="6455" w:type="dxa"/>
            <w:gridSpan w:val="5"/>
          </w:tcPr>
          <w:p w:rsidR="00BD1CE1" w:rsidRPr="000862E0" w:rsidRDefault="00BD1CE1" w:rsidP="00BD1C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4"/>
                <w:lang w:val="sr-Cyrl-BA"/>
              </w:rPr>
            </w:pPr>
            <w:r w:rsidRPr="000862E0">
              <w:rPr>
                <w:rFonts w:ascii="Times New Roman" w:hAnsi="Times New Roman" w:cs="Times New Roman"/>
                <w:b/>
                <w:szCs w:val="24"/>
                <w:lang w:val="sr-Cyrl-BA"/>
              </w:rPr>
              <w:t>Објекти</w:t>
            </w:r>
          </w:p>
        </w:tc>
      </w:tr>
      <w:tr w:rsidR="00BD1CE1" w:rsidRPr="000862E0" w:rsidTr="00BD1CE1">
        <w:trPr>
          <w:cantSplit/>
          <w:trHeight w:val="1872"/>
        </w:trPr>
        <w:tc>
          <w:tcPr>
            <w:tcW w:w="588" w:type="dxa"/>
            <w:textDirection w:val="btLr"/>
            <w:vAlign w:val="center"/>
          </w:tcPr>
          <w:p w:rsidR="00B07583" w:rsidRPr="000862E0" w:rsidRDefault="00B07583" w:rsidP="00B07583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  <w:lang w:val="sr-Cyrl-BA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Р</w:t>
            </w: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  <w:lang w:val="sr-Cyrl-BA"/>
              </w:rPr>
              <w:t>едни</w:t>
            </w: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 xml:space="preserve"> </w:t>
            </w: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  <w:lang w:val="sr-Cyrl-BA"/>
              </w:rPr>
              <w:t>број</w:t>
            </w:r>
          </w:p>
        </w:tc>
        <w:tc>
          <w:tcPr>
            <w:tcW w:w="799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 xml:space="preserve"> Општина</w:t>
            </w:r>
          </w:p>
        </w:tc>
        <w:tc>
          <w:tcPr>
            <w:tcW w:w="1273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Врста зоне</w:t>
            </w:r>
          </w:p>
        </w:tc>
        <w:tc>
          <w:tcPr>
            <w:tcW w:w="1791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Назив зоне</w:t>
            </w:r>
          </w:p>
        </w:tc>
        <w:tc>
          <w:tcPr>
            <w:tcW w:w="714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Ознака зоне</w:t>
            </w:r>
          </w:p>
        </w:tc>
        <w:tc>
          <w:tcPr>
            <w:tcW w:w="869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Грађевинско земљиште</w:t>
            </w:r>
          </w:p>
        </w:tc>
        <w:tc>
          <w:tcPr>
            <w:tcW w:w="869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0"/>
                <w:szCs w:val="20"/>
              </w:rPr>
              <w:t>Пољопривредно</w:t>
            </w: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 xml:space="preserve"> земљиште</w:t>
            </w:r>
          </w:p>
        </w:tc>
        <w:tc>
          <w:tcPr>
            <w:tcW w:w="869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Шумско земљиште</w:t>
            </w:r>
          </w:p>
        </w:tc>
        <w:tc>
          <w:tcPr>
            <w:tcW w:w="869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Индустријско земљиште</w:t>
            </w:r>
          </w:p>
        </w:tc>
        <w:tc>
          <w:tcPr>
            <w:tcW w:w="747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Остало земљиште</w:t>
            </w:r>
          </w:p>
        </w:tc>
        <w:tc>
          <w:tcPr>
            <w:tcW w:w="1210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Стан</w:t>
            </w:r>
          </w:p>
        </w:tc>
        <w:tc>
          <w:tcPr>
            <w:tcW w:w="1276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 xml:space="preserve">Кућа     </w:t>
            </w:r>
          </w:p>
        </w:tc>
        <w:tc>
          <w:tcPr>
            <w:tcW w:w="1275" w:type="dxa"/>
            <w:textDirection w:val="btLr"/>
            <w:vAlign w:val="center"/>
          </w:tcPr>
          <w:p w:rsidR="00B07583" w:rsidRPr="000862E0" w:rsidRDefault="00B07583" w:rsidP="003D7B91">
            <w:pPr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000000"/>
                <w:sz w:val="22"/>
              </w:rPr>
            </w:pPr>
            <w:r w:rsidRPr="000862E0">
              <w:rPr>
                <w:rFonts w:asciiTheme="majorHAnsi" w:hAnsiTheme="majorHAnsi" w:cs="Arial"/>
                <w:b/>
                <w:bCs/>
                <w:color w:val="000000"/>
                <w:sz w:val="22"/>
              </w:rPr>
              <w:t>Пословни простор</w:t>
            </w:r>
          </w:p>
        </w:tc>
        <w:tc>
          <w:tcPr>
            <w:tcW w:w="1276" w:type="dxa"/>
            <w:textDirection w:val="btLr"/>
            <w:vAlign w:val="center"/>
          </w:tcPr>
          <w:p w:rsidR="00B07583" w:rsidRPr="000862E0" w:rsidRDefault="00B07583" w:rsidP="00B0758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0862E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Индустријски простор</w:t>
            </w:r>
          </w:p>
        </w:tc>
        <w:tc>
          <w:tcPr>
            <w:tcW w:w="1418" w:type="dxa"/>
            <w:textDirection w:val="btLr"/>
            <w:vAlign w:val="center"/>
          </w:tcPr>
          <w:p w:rsidR="00B07583" w:rsidRPr="000862E0" w:rsidRDefault="00B07583" w:rsidP="00B0758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</w:pPr>
            <w:r w:rsidRPr="000862E0">
              <w:rPr>
                <w:rFonts w:ascii="Times New Roman" w:hAnsi="Times New Roman" w:cs="Times New Roman"/>
                <w:b/>
                <w:bCs/>
                <w:color w:val="000000"/>
                <w:sz w:val="22"/>
              </w:rPr>
              <w:t>Остали објекти</w:t>
            </w:r>
          </w:p>
        </w:tc>
      </w:tr>
      <w:tr w:rsidR="00B07583" w:rsidRPr="00B07583" w:rsidTr="00BD1CE1">
        <w:tc>
          <w:tcPr>
            <w:tcW w:w="588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</w:t>
            </w:r>
          </w:p>
        </w:tc>
        <w:tc>
          <w:tcPr>
            <w:tcW w:w="799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2</w:t>
            </w:r>
          </w:p>
        </w:tc>
        <w:tc>
          <w:tcPr>
            <w:tcW w:w="1273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3</w:t>
            </w:r>
          </w:p>
        </w:tc>
        <w:tc>
          <w:tcPr>
            <w:tcW w:w="1791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4</w:t>
            </w:r>
          </w:p>
        </w:tc>
        <w:tc>
          <w:tcPr>
            <w:tcW w:w="714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5</w:t>
            </w:r>
          </w:p>
        </w:tc>
        <w:tc>
          <w:tcPr>
            <w:tcW w:w="869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6</w:t>
            </w:r>
          </w:p>
        </w:tc>
        <w:tc>
          <w:tcPr>
            <w:tcW w:w="869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7</w:t>
            </w:r>
          </w:p>
        </w:tc>
        <w:tc>
          <w:tcPr>
            <w:tcW w:w="869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8</w:t>
            </w:r>
          </w:p>
        </w:tc>
        <w:tc>
          <w:tcPr>
            <w:tcW w:w="869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9</w:t>
            </w:r>
          </w:p>
        </w:tc>
        <w:tc>
          <w:tcPr>
            <w:tcW w:w="747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10</w:t>
            </w:r>
          </w:p>
        </w:tc>
        <w:tc>
          <w:tcPr>
            <w:tcW w:w="1210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11</w:t>
            </w:r>
          </w:p>
        </w:tc>
        <w:tc>
          <w:tcPr>
            <w:tcW w:w="1276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12</w:t>
            </w:r>
          </w:p>
        </w:tc>
        <w:tc>
          <w:tcPr>
            <w:tcW w:w="1275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13</w:t>
            </w:r>
          </w:p>
        </w:tc>
        <w:tc>
          <w:tcPr>
            <w:tcW w:w="1276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14</w:t>
            </w:r>
          </w:p>
        </w:tc>
        <w:tc>
          <w:tcPr>
            <w:tcW w:w="1418" w:type="dxa"/>
          </w:tcPr>
          <w:p w:rsidR="00E67444" w:rsidRPr="00B07583" w:rsidRDefault="00B07583" w:rsidP="00B0758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</w:pPr>
            <w:r w:rsidRPr="00B07583">
              <w:rPr>
                <w:rFonts w:ascii="Times New Roman" w:hAnsi="Times New Roman" w:cs="Times New Roman"/>
                <w:b/>
                <w:sz w:val="16"/>
                <w:szCs w:val="16"/>
                <w:lang w:val="sr-Cyrl-BA"/>
              </w:rPr>
              <w:t>15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3D7B91" w:rsidRPr="003D7B91" w:rsidRDefault="003D7B91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</w:t>
            </w:r>
          </w:p>
        </w:tc>
        <w:tc>
          <w:tcPr>
            <w:tcW w:w="799" w:type="dxa"/>
            <w:vAlign w:val="bottom"/>
          </w:tcPr>
          <w:p w:rsidR="003D7B91" w:rsidRPr="003D7B91" w:rsidRDefault="003D7B91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  <w:vAlign w:val="bottom"/>
          </w:tcPr>
          <w:p w:rsidR="003D7B91" w:rsidRPr="00B07583" w:rsidRDefault="003D7B91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Зона</w:t>
            </w:r>
            <w:r w:rsidR="00B07583">
              <w:rPr>
                <w:rFonts w:asciiTheme="majorHAnsi" w:hAnsiTheme="majorHAnsi" w:cs="Arial"/>
                <w:sz w:val="22"/>
              </w:rPr>
              <w:t xml:space="preserve"> </w:t>
            </w:r>
            <w:r w:rsidR="00B07583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  <w:vAlign w:val="bottom"/>
          </w:tcPr>
          <w:p w:rsidR="003D7B91" w:rsidRPr="003D7B91" w:rsidRDefault="003D7B91" w:rsidP="009F3A5D">
            <w:pPr>
              <w:rPr>
                <w:rFonts w:asciiTheme="majorHAnsi" w:hAnsiTheme="majorHAnsi" w:cs="Arial"/>
                <w:sz w:val="22"/>
                <w:lang w:val="sr-Cyrl-BA"/>
              </w:rPr>
            </w:pPr>
            <w:r>
              <w:rPr>
                <w:rFonts w:asciiTheme="majorHAnsi" w:hAnsiTheme="majorHAnsi" w:cs="Arial"/>
                <w:sz w:val="22"/>
              </w:rPr>
              <w:t xml:space="preserve">I   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3D7B91" w:rsidRPr="003D7B91" w:rsidRDefault="003D7B91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I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35,00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10,00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10,35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11,66</w:t>
            </w:r>
          </w:p>
        </w:tc>
        <w:tc>
          <w:tcPr>
            <w:tcW w:w="747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5,50</w:t>
            </w:r>
          </w:p>
        </w:tc>
        <w:tc>
          <w:tcPr>
            <w:tcW w:w="1210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1.200,00</w:t>
            </w:r>
          </w:p>
        </w:tc>
        <w:tc>
          <w:tcPr>
            <w:tcW w:w="1276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1.100,00</w:t>
            </w:r>
          </w:p>
        </w:tc>
        <w:tc>
          <w:tcPr>
            <w:tcW w:w="1275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1.300,00</w:t>
            </w:r>
          </w:p>
        </w:tc>
        <w:tc>
          <w:tcPr>
            <w:tcW w:w="1276" w:type="dxa"/>
            <w:vAlign w:val="bottom"/>
          </w:tcPr>
          <w:p w:rsidR="003D7B91" w:rsidRPr="003D7B91" w:rsidRDefault="003D7B91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470,00</w:t>
            </w:r>
          </w:p>
        </w:tc>
        <w:tc>
          <w:tcPr>
            <w:tcW w:w="1418" w:type="dxa"/>
            <w:vAlign w:val="bottom"/>
          </w:tcPr>
          <w:p w:rsidR="003D7B91" w:rsidRPr="003D7B91" w:rsidRDefault="003D7B91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1.200,00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2.</w:t>
            </w:r>
          </w:p>
        </w:tc>
        <w:tc>
          <w:tcPr>
            <w:tcW w:w="799" w:type="dxa"/>
          </w:tcPr>
          <w:p w:rsidR="00B07583" w:rsidRPr="003D7B91" w:rsidRDefault="00B07583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B07583" w:rsidRDefault="00B07583">
            <w:r w:rsidRPr="00C73E7B">
              <w:rPr>
                <w:rFonts w:asciiTheme="majorHAnsi" w:hAnsiTheme="majorHAnsi" w:cs="Arial"/>
                <w:sz w:val="22"/>
              </w:rPr>
              <w:t xml:space="preserve">Зона </w:t>
            </w:r>
            <w:r w:rsidRPr="00C73E7B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</w:tcPr>
          <w:p w:rsidR="00B07583" w:rsidRPr="003D7B91" w:rsidRDefault="00B07583" w:rsidP="009F3A5D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II 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II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30,00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6,45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7,17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8,45</w:t>
            </w:r>
          </w:p>
        </w:tc>
        <w:tc>
          <w:tcPr>
            <w:tcW w:w="747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4,22</w:t>
            </w:r>
          </w:p>
        </w:tc>
        <w:tc>
          <w:tcPr>
            <w:tcW w:w="1210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1.150,00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1.050,00</w:t>
            </w:r>
          </w:p>
        </w:tc>
        <w:tc>
          <w:tcPr>
            <w:tcW w:w="1275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1.200,00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440,00</w:t>
            </w:r>
          </w:p>
        </w:tc>
        <w:tc>
          <w:tcPr>
            <w:tcW w:w="1418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1.150,00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3.</w:t>
            </w:r>
          </w:p>
        </w:tc>
        <w:tc>
          <w:tcPr>
            <w:tcW w:w="799" w:type="dxa"/>
          </w:tcPr>
          <w:p w:rsidR="00B07583" w:rsidRPr="003D7B91" w:rsidRDefault="00B07583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B07583" w:rsidRDefault="00B07583">
            <w:r w:rsidRPr="00C73E7B">
              <w:rPr>
                <w:rFonts w:asciiTheme="majorHAnsi" w:hAnsiTheme="majorHAnsi" w:cs="Arial"/>
                <w:sz w:val="22"/>
              </w:rPr>
              <w:t xml:space="preserve">Зона </w:t>
            </w:r>
            <w:r w:rsidRPr="00C73E7B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</w:tcPr>
          <w:p w:rsidR="00B07583" w:rsidRPr="003D7B91" w:rsidRDefault="00B07583" w:rsidP="009F3A5D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III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III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12,00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3,66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4,15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6,61</w:t>
            </w:r>
          </w:p>
        </w:tc>
        <w:tc>
          <w:tcPr>
            <w:tcW w:w="747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3,33</w:t>
            </w:r>
          </w:p>
        </w:tc>
        <w:tc>
          <w:tcPr>
            <w:tcW w:w="1210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1.100,00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1.000,00</w:t>
            </w:r>
          </w:p>
        </w:tc>
        <w:tc>
          <w:tcPr>
            <w:tcW w:w="1275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1.150,00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410,00</w:t>
            </w:r>
          </w:p>
        </w:tc>
        <w:tc>
          <w:tcPr>
            <w:tcW w:w="1418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1.100,00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4.</w:t>
            </w:r>
          </w:p>
        </w:tc>
        <w:tc>
          <w:tcPr>
            <w:tcW w:w="799" w:type="dxa"/>
          </w:tcPr>
          <w:p w:rsidR="00B07583" w:rsidRPr="003D7B91" w:rsidRDefault="00B07583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B07583" w:rsidRDefault="00B07583">
            <w:r w:rsidRPr="00C73E7B">
              <w:rPr>
                <w:rFonts w:asciiTheme="majorHAnsi" w:hAnsiTheme="majorHAnsi" w:cs="Arial"/>
                <w:sz w:val="22"/>
              </w:rPr>
              <w:t xml:space="preserve">Зона </w:t>
            </w:r>
            <w:r w:rsidRPr="00C73E7B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</w:tcPr>
          <w:p w:rsidR="00B07583" w:rsidRPr="003D7B91" w:rsidRDefault="00B07583" w:rsidP="009F3A5D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IV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IV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9,00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2,33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2,60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4,85</w:t>
            </w:r>
          </w:p>
        </w:tc>
        <w:tc>
          <w:tcPr>
            <w:tcW w:w="747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2,42</w:t>
            </w:r>
          </w:p>
        </w:tc>
        <w:tc>
          <w:tcPr>
            <w:tcW w:w="1210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1.050,00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920,00</w:t>
            </w:r>
          </w:p>
        </w:tc>
        <w:tc>
          <w:tcPr>
            <w:tcW w:w="1275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1.100,00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380,00</w:t>
            </w:r>
          </w:p>
        </w:tc>
        <w:tc>
          <w:tcPr>
            <w:tcW w:w="1418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1.000,00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5.</w:t>
            </w:r>
          </w:p>
        </w:tc>
        <w:tc>
          <w:tcPr>
            <w:tcW w:w="799" w:type="dxa"/>
          </w:tcPr>
          <w:p w:rsidR="00B07583" w:rsidRPr="003D7B91" w:rsidRDefault="00B07583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B07583" w:rsidRDefault="00B07583">
            <w:r w:rsidRPr="00C73E7B">
              <w:rPr>
                <w:rFonts w:asciiTheme="majorHAnsi" w:hAnsiTheme="majorHAnsi" w:cs="Arial"/>
                <w:sz w:val="22"/>
              </w:rPr>
              <w:t xml:space="preserve">Зона </w:t>
            </w:r>
            <w:r w:rsidRPr="00C73E7B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</w:tcPr>
          <w:p w:rsidR="00B07583" w:rsidRPr="003D7B91" w:rsidRDefault="00B07583" w:rsidP="009F3A5D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V  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V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6,00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1,93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2,26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3,93</w:t>
            </w:r>
          </w:p>
        </w:tc>
        <w:tc>
          <w:tcPr>
            <w:tcW w:w="747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1,96</w:t>
            </w:r>
          </w:p>
        </w:tc>
        <w:tc>
          <w:tcPr>
            <w:tcW w:w="1210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920,00</w:t>
            </w:r>
          </w:p>
        </w:tc>
        <w:tc>
          <w:tcPr>
            <w:tcW w:w="1275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360,00</w:t>
            </w:r>
          </w:p>
        </w:tc>
        <w:tc>
          <w:tcPr>
            <w:tcW w:w="1418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1.000,00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6.</w:t>
            </w:r>
          </w:p>
        </w:tc>
        <w:tc>
          <w:tcPr>
            <w:tcW w:w="799" w:type="dxa"/>
          </w:tcPr>
          <w:p w:rsidR="00B07583" w:rsidRPr="003D7B91" w:rsidRDefault="00B07583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B07583" w:rsidRDefault="00B07583">
            <w:r w:rsidRPr="00C73E7B">
              <w:rPr>
                <w:rFonts w:asciiTheme="majorHAnsi" w:hAnsiTheme="majorHAnsi" w:cs="Arial"/>
                <w:sz w:val="22"/>
              </w:rPr>
              <w:t xml:space="preserve">Зона </w:t>
            </w:r>
            <w:r w:rsidRPr="00C73E7B">
              <w:rPr>
                <w:rFonts w:asciiTheme="majorHAnsi" w:hAnsiTheme="majorHAnsi" w:cs="Arial"/>
                <w:sz w:val="22"/>
                <w:lang w:val="sr-Cyrl-BA"/>
              </w:rPr>
              <w:t>ГГЗ-а</w:t>
            </w:r>
          </w:p>
        </w:tc>
        <w:tc>
          <w:tcPr>
            <w:tcW w:w="1791" w:type="dxa"/>
          </w:tcPr>
          <w:p w:rsidR="00B07583" w:rsidRPr="003D7B91" w:rsidRDefault="00B07583" w:rsidP="009F3A5D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 xml:space="preserve">VI </w:t>
            </w: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Зона</w:t>
            </w:r>
          </w:p>
        </w:tc>
        <w:tc>
          <w:tcPr>
            <w:tcW w:w="714" w:type="dxa"/>
            <w:vAlign w:val="center"/>
          </w:tcPr>
          <w:p w:rsidR="00B07583" w:rsidRPr="003D7B91" w:rsidRDefault="00B07583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VI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4,85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1,53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1,71</w:t>
            </w:r>
          </w:p>
        </w:tc>
        <w:tc>
          <w:tcPr>
            <w:tcW w:w="869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3,00</w:t>
            </w:r>
          </w:p>
        </w:tc>
        <w:tc>
          <w:tcPr>
            <w:tcW w:w="747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1210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920,00</w:t>
            </w:r>
          </w:p>
        </w:tc>
        <w:tc>
          <w:tcPr>
            <w:tcW w:w="1275" w:type="dxa"/>
            <w:vAlign w:val="bottom"/>
          </w:tcPr>
          <w:p w:rsidR="00B07583" w:rsidRPr="003D7B91" w:rsidRDefault="00B07583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1.000,00</w:t>
            </w:r>
          </w:p>
        </w:tc>
        <w:tc>
          <w:tcPr>
            <w:tcW w:w="1276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340,00</w:t>
            </w:r>
          </w:p>
        </w:tc>
        <w:tc>
          <w:tcPr>
            <w:tcW w:w="1418" w:type="dxa"/>
            <w:vAlign w:val="bottom"/>
          </w:tcPr>
          <w:p w:rsidR="00B07583" w:rsidRPr="003D7B91" w:rsidRDefault="00B07583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1.000,00</w:t>
            </w:r>
          </w:p>
        </w:tc>
      </w:tr>
      <w:tr w:rsidR="00B07583" w:rsidRPr="00E67444" w:rsidTr="00BD1CE1">
        <w:tc>
          <w:tcPr>
            <w:tcW w:w="588" w:type="dxa"/>
            <w:vAlign w:val="center"/>
          </w:tcPr>
          <w:p w:rsidR="003D7B91" w:rsidRPr="003D7B91" w:rsidRDefault="003D7B91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7.</w:t>
            </w:r>
          </w:p>
        </w:tc>
        <w:tc>
          <w:tcPr>
            <w:tcW w:w="799" w:type="dxa"/>
          </w:tcPr>
          <w:p w:rsidR="003D7B91" w:rsidRPr="003D7B91" w:rsidRDefault="003D7B91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  <w:vAlign w:val="bottom"/>
          </w:tcPr>
          <w:p w:rsidR="003D7B91" w:rsidRPr="009F3A5D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3D7B91" w:rsidRPr="003D7B91" w:rsidRDefault="003D7B91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Барица Горња</w:t>
            </w:r>
          </w:p>
        </w:tc>
        <w:tc>
          <w:tcPr>
            <w:tcW w:w="714" w:type="dxa"/>
            <w:vAlign w:val="center"/>
          </w:tcPr>
          <w:p w:rsidR="003D7B91" w:rsidRPr="003D7B91" w:rsidRDefault="003D7B91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В6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1,20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747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0,55</w:t>
            </w:r>
          </w:p>
        </w:tc>
        <w:tc>
          <w:tcPr>
            <w:tcW w:w="1210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6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620,00</w:t>
            </w:r>
          </w:p>
        </w:tc>
        <w:tc>
          <w:tcPr>
            <w:tcW w:w="1275" w:type="dxa"/>
            <w:vAlign w:val="bottom"/>
          </w:tcPr>
          <w:p w:rsidR="003D7B91" w:rsidRPr="003D7B91" w:rsidRDefault="003D7B91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6" w:type="dxa"/>
            <w:vAlign w:val="bottom"/>
          </w:tcPr>
          <w:p w:rsidR="003D7B91" w:rsidRPr="003D7B91" w:rsidRDefault="003D7B91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270,00</w:t>
            </w:r>
          </w:p>
        </w:tc>
        <w:tc>
          <w:tcPr>
            <w:tcW w:w="1418" w:type="dxa"/>
            <w:vAlign w:val="bottom"/>
          </w:tcPr>
          <w:p w:rsidR="003D7B91" w:rsidRPr="003D7B91" w:rsidRDefault="003D7B91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700,00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8.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Барица Доња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640,00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280,00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730,00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9.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0"/>
                <w:szCs w:val="20"/>
                <w:lang w:val="sr-Cyrl-BA"/>
              </w:rPr>
            </w:pPr>
            <w:r w:rsidRPr="003D7B91">
              <w:rPr>
                <w:rFonts w:asciiTheme="majorHAnsi" w:hAnsiTheme="majorHAnsi" w:cs="Arial"/>
                <w:sz w:val="20"/>
                <w:szCs w:val="20"/>
                <w:lang w:val="sr-Cyrl-BA"/>
              </w:rPr>
              <w:t>Брусница Велика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В6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0,55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620,00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270,00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700,00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10.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Брусница Мала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В7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1,10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0,51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600,00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270,00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690,00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11.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Винска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1,43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0,76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290,00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12.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Врела Горња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0,51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260,00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650,00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13.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Врела Доња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В8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1,00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0,48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0,55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0,47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580,00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270,00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670,00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14.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Грк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В6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0,55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710,00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620,00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710,00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270,00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710,00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15.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Збориште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1,43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0,76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290,00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16.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Клакар Горњи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640,00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280,00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730,00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17.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Клакар Доњи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640,00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280,00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730,00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18.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Колибе Горње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1,43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0,76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290,00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19.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Колибе Доње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1,43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0,76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290,00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20.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Кораће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1,50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0,77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0,83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0,67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680,00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300,00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770,00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21.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Кричаново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1,43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0,76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290,00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22.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Крушчик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В9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0,51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0,43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560,00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650,00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260,00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650,00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23.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Лијешће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В2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1,60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1,15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310,00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790,00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24.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Мочила Горња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В2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1,60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1,15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310,00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790,00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25.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Мочила Доња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В2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1,60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1,15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0,71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700,00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790,00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310,00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790,00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26.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Ново Село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В3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1,50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0,77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0,95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0,83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0,67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680,00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770,00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300,00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770,00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27.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Полој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В10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0,34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0,40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0,38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0,35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540,00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250,00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630,00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28.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Сијековац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В1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2,00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1,04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1,18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1,00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0,75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800,00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720,00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800,00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310,00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800,00</w:t>
            </w:r>
          </w:p>
        </w:tc>
      </w:tr>
      <w:tr w:rsidR="009F3A5D" w:rsidRPr="00E67444" w:rsidTr="00780DE5">
        <w:tc>
          <w:tcPr>
            <w:tcW w:w="588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29.</w:t>
            </w:r>
          </w:p>
        </w:tc>
        <w:tc>
          <w:tcPr>
            <w:tcW w:w="799" w:type="dxa"/>
          </w:tcPr>
          <w:p w:rsidR="009F3A5D" w:rsidRPr="003D7B91" w:rsidRDefault="009F3A5D" w:rsidP="00BB43E6">
            <w:pPr>
              <w:rPr>
                <w:rFonts w:asciiTheme="majorHAnsi" w:hAnsiTheme="majorHAnsi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Брод</w:t>
            </w:r>
          </w:p>
        </w:tc>
        <w:tc>
          <w:tcPr>
            <w:tcW w:w="1273" w:type="dxa"/>
          </w:tcPr>
          <w:p w:rsidR="009F3A5D" w:rsidRDefault="009F3A5D">
            <w:r w:rsidRPr="002103E4">
              <w:rPr>
                <w:rFonts w:asciiTheme="majorHAnsi" w:hAnsiTheme="majorHAnsi" w:cs="Arial"/>
                <w:sz w:val="22"/>
                <w:lang w:val="sr-Cyrl-BA"/>
              </w:rPr>
              <w:t>Насеље</w:t>
            </w:r>
          </w:p>
        </w:tc>
        <w:tc>
          <w:tcPr>
            <w:tcW w:w="1791" w:type="dxa"/>
            <w:vAlign w:val="bottom"/>
          </w:tcPr>
          <w:p w:rsidR="009F3A5D" w:rsidRPr="003D7B91" w:rsidRDefault="009F3A5D" w:rsidP="00BB43E6">
            <w:pPr>
              <w:rPr>
                <w:rFonts w:asciiTheme="majorHAnsi" w:hAnsiTheme="majorHAnsi" w:cs="Arial"/>
                <w:sz w:val="22"/>
                <w:lang w:val="sr-Cyrl-BA"/>
              </w:rPr>
            </w:pPr>
            <w:r w:rsidRPr="003D7B91">
              <w:rPr>
                <w:rFonts w:asciiTheme="majorHAnsi" w:hAnsiTheme="majorHAnsi" w:cs="Arial"/>
                <w:sz w:val="22"/>
                <w:lang w:val="sr-Cyrl-BA"/>
              </w:rPr>
              <w:t>Унка</w:t>
            </w:r>
          </w:p>
        </w:tc>
        <w:tc>
          <w:tcPr>
            <w:tcW w:w="714" w:type="dxa"/>
            <w:vAlign w:val="center"/>
          </w:tcPr>
          <w:p w:rsidR="009F3A5D" w:rsidRPr="003D7B91" w:rsidRDefault="009F3A5D" w:rsidP="00BB43E6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В5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1,25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0,65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0,80</w:t>
            </w:r>
          </w:p>
        </w:tc>
        <w:tc>
          <w:tcPr>
            <w:tcW w:w="869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0,70</w:t>
            </w:r>
          </w:p>
        </w:tc>
        <w:tc>
          <w:tcPr>
            <w:tcW w:w="747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0,59</w:t>
            </w:r>
          </w:p>
        </w:tc>
        <w:tc>
          <w:tcPr>
            <w:tcW w:w="1210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640,00</w:t>
            </w:r>
          </w:p>
        </w:tc>
        <w:tc>
          <w:tcPr>
            <w:tcW w:w="1275" w:type="dxa"/>
            <w:vAlign w:val="bottom"/>
          </w:tcPr>
          <w:p w:rsidR="009F3A5D" w:rsidRPr="003D7B91" w:rsidRDefault="009F3A5D" w:rsidP="00BB43E6">
            <w:pPr>
              <w:jc w:val="right"/>
              <w:rPr>
                <w:rFonts w:asciiTheme="majorHAnsi" w:hAnsiTheme="majorHAnsi" w:cs="Arial"/>
                <w:sz w:val="22"/>
              </w:rPr>
            </w:pPr>
            <w:r w:rsidRPr="003D7B91">
              <w:rPr>
                <w:rFonts w:asciiTheme="majorHAnsi" w:hAnsiTheme="majorHAnsi" w:cs="Arial"/>
                <w:sz w:val="22"/>
              </w:rPr>
              <w:t>730,00</w:t>
            </w:r>
          </w:p>
        </w:tc>
        <w:tc>
          <w:tcPr>
            <w:tcW w:w="1276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280,00</w:t>
            </w:r>
          </w:p>
        </w:tc>
        <w:tc>
          <w:tcPr>
            <w:tcW w:w="1418" w:type="dxa"/>
            <w:vAlign w:val="bottom"/>
          </w:tcPr>
          <w:p w:rsidR="009F3A5D" w:rsidRPr="003D7B91" w:rsidRDefault="009F3A5D">
            <w:pPr>
              <w:jc w:val="right"/>
              <w:rPr>
                <w:rFonts w:asciiTheme="majorHAnsi" w:hAnsiTheme="majorHAnsi" w:cs="Times New Roman"/>
                <w:sz w:val="22"/>
              </w:rPr>
            </w:pPr>
            <w:r w:rsidRPr="003D7B91">
              <w:rPr>
                <w:rFonts w:asciiTheme="majorHAnsi" w:hAnsiTheme="majorHAnsi" w:cs="Times New Roman"/>
                <w:sz w:val="22"/>
              </w:rPr>
              <w:t>730,00</w:t>
            </w:r>
          </w:p>
        </w:tc>
      </w:tr>
    </w:tbl>
    <w:p w:rsidR="0070520E" w:rsidRPr="00B07583" w:rsidRDefault="0070520E" w:rsidP="00B07583">
      <w:pPr>
        <w:spacing w:line="240" w:lineRule="auto"/>
        <w:rPr>
          <w:sz w:val="2"/>
          <w:szCs w:val="2"/>
        </w:rPr>
      </w:pPr>
    </w:p>
    <w:sectPr w:rsidR="0070520E" w:rsidRPr="00B07583" w:rsidSect="00E67444">
      <w:pgSz w:w="16838" w:h="11906" w:orient="landscape"/>
      <w:pgMar w:top="567" w:right="567" w:bottom="567" w:left="567" w:header="0" w:footer="6" w:gutter="0"/>
      <w:paperSrc w:first="7" w:other="7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44"/>
    <w:rsid w:val="00020DB6"/>
    <w:rsid w:val="000862E0"/>
    <w:rsid w:val="00095505"/>
    <w:rsid w:val="000C48C6"/>
    <w:rsid w:val="001401F3"/>
    <w:rsid w:val="00160C1A"/>
    <w:rsid w:val="001A6DC1"/>
    <w:rsid w:val="002008FD"/>
    <w:rsid w:val="0032086B"/>
    <w:rsid w:val="003D7B91"/>
    <w:rsid w:val="003F044C"/>
    <w:rsid w:val="00403FE2"/>
    <w:rsid w:val="00413D64"/>
    <w:rsid w:val="00506AE8"/>
    <w:rsid w:val="005765AA"/>
    <w:rsid w:val="005A0A26"/>
    <w:rsid w:val="005C6AD9"/>
    <w:rsid w:val="005E17CC"/>
    <w:rsid w:val="00660D30"/>
    <w:rsid w:val="006953F4"/>
    <w:rsid w:val="0070520E"/>
    <w:rsid w:val="007F4C69"/>
    <w:rsid w:val="00801894"/>
    <w:rsid w:val="00823188"/>
    <w:rsid w:val="008A3236"/>
    <w:rsid w:val="0092068E"/>
    <w:rsid w:val="00921F06"/>
    <w:rsid w:val="009945B2"/>
    <w:rsid w:val="009B4D10"/>
    <w:rsid w:val="009D6E39"/>
    <w:rsid w:val="009E78B9"/>
    <w:rsid w:val="009F3A5D"/>
    <w:rsid w:val="00A57E8E"/>
    <w:rsid w:val="00AC38C1"/>
    <w:rsid w:val="00B07583"/>
    <w:rsid w:val="00B9317C"/>
    <w:rsid w:val="00B94A16"/>
    <w:rsid w:val="00BB74C1"/>
    <w:rsid w:val="00BD1CE1"/>
    <w:rsid w:val="00C361F0"/>
    <w:rsid w:val="00C532E3"/>
    <w:rsid w:val="00CE3406"/>
    <w:rsid w:val="00D642CB"/>
    <w:rsid w:val="00D76554"/>
    <w:rsid w:val="00DF7B5E"/>
    <w:rsid w:val="00E31DBC"/>
    <w:rsid w:val="00E37D79"/>
    <w:rsid w:val="00E67444"/>
    <w:rsid w:val="00F00FF0"/>
    <w:rsid w:val="00F1216C"/>
    <w:rsid w:val="00F7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Boško Trninić</dc:creator>
  <cp:lastModifiedBy>Boško Trninić</cp:lastModifiedBy>
  <cp:revision>2</cp:revision>
  <cp:lastPrinted>2022-12-12T13:35:00Z</cp:lastPrinted>
  <dcterms:created xsi:type="dcterms:W3CDTF">2024-12-10T07:22:00Z</dcterms:created>
  <dcterms:modified xsi:type="dcterms:W3CDTF">2024-12-10T07:22:00Z</dcterms:modified>
</cp:coreProperties>
</file>